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FF188C" w14:paraId="2B7EB76F" w14:textId="77777777" w:rsidTr="00876A8A">
        <w:trPr>
          <w:cantSplit/>
        </w:trPr>
        <w:tc>
          <w:tcPr>
            <w:tcW w:w="6487" w:type="dxa"/>
            <w:vAlign w:val="center"/>
          </w:tcPr>
          <w:p w14:paraId="0D0608D1" w14:textId="77777777" w:rsidR="009F6520" w:rsidRPr="00FF188C" w:rsidRDefault="009F6520" w:rsidP="009F6520">
            <w:pPr>
              <w:shd w:val="solid" w:color="FFFFFF" w:fill="FFFFFF"/>
              <w:spacing w:before="0"/>
              <w:rPr>
                <w:rFonts w:ascii="Verdana" w:hAnsi="Verdana" w:cs="Times New Roman Bold"/>
                <w:b/>
                <w:bCs/>
                <w:sz w:val="26"/>
                <w:szCs w:val="26"/>
              </w:rPr>
            </w:pPr>
            <w:r w:rsidRPr="00FF188C">
              <w:rPr>
                <w:rFonts w:ascii="Verdana" w:hAnsi="Verdana" w:cs="Times New Roman Bold"/>
                <w:b/>
                <w:bCs/>
                <w:sz w:val="26"/>
                <w:szCs w:val="26"/>
              </w:rPr>
              <w:t>Radiocommunication Study Groups</w:t>
            </w:r>
          </w:p>
        </w:tc>
        <w:tc>
          <w:tcPr>
            <w:tcW w:w="3402" w:type="dxa"/>
          </w:tcPr>
          <w:p w14:paraId="3B8D017C" w14:textId="77777777" w:rsidR="009F6520" w:rsidRPr="00FF188C" w:rsidRDefault="00C1590E" w:rsidP="00C1590E">
            <w:pPr>
              <w:shd w:val="solid" w:color="FFFFFF" w:fill="FFFFFF"/>
              <w:spacing w:before="0" w:line="240" w:lineRule="atLeast"/>
            </w:pPr>
            <w:bookmarkStart w:id="0" w:name="ditulogo"/>
            <w:bookmarkEnd w:id="0"/>
            <w:r w:rsidRPr="00FF188C">
              <w:rPr>
                <w:lang w:eastAsia="en-GB"/>
              </w:rPr>
              <w:drawing>
                <wp:inline distT="0" distB="0" distL="0" distR="0" wp14:anchorId="3E8EAE95" wp14:editId="02CC4CA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FF188C" w14:paraId="6AA807AD" w14:textId="77777777" w:rsidTr="00876A8A">
        <w:trPr>
          <w:cantSplit/>
        </w:trPr>
        <w:tc>
          <w:tcPr>
            <w:tcW w:w="6487" w:type="dxa"/>
            <w:tcBorders>
              <w:bottom w:val="single" w:sz="12" w:space="0" w:color="auto"/>
            </w:tcBorders>
          </w:tcPr>
          <w:p w14:paraId="374FD872" w14:textId="77777777" w:rsidR="000069D4" w:rsidRPr="00FF188C"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D2F4CF5" w14:textId="77777777" w:rsidR="000069D4" w:rsidRPr="00FF188C" w:rsidRDefault="000069D4" w:rsidP="00A5173C">
            <w:pPr>
              <w:shd w:val="solid" w:color="FFFFFF" w:fill="FFFFFF"/>
              <w:spacing w:before="0" w:after="48" w:line="240" w:lineRule="atLeast"/>
              <w:rPr>
                <w:sz w:val="22"/>
                <w:szCs w:val="22"/>
              </w:rPr>
            </w:pPr>
          </w:p>
        </w:tc>
      </w:tr>
      <w:tr w:rsidR="000069D4" w:rsidRPr="00FF188C" w14:paraId="00AB7740" w14:textId="77777777" w:rsidTr="00876A8A">
        <w:trPr>
          <w:cantSplit/>
        </w:trPr>
        <w:tc>
          <w:tcPr>
            <w:tcW w:w="6487" w:type="dxa"/>
            <w:tcBorders>
              <w:top w:val="single" w:sz="12" w:space="0" w:color="auto"/>
            </w:tcBorders>
          </w:tcPr>
          <w:p w14:paraId="4B3B6C49" w14:textId="77777777" w:rsidR="000069D4" w:rsidRPr="00FF188C"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1B610B3" w14:textId="77777777" w:rsidR="000069D4" w:rsidRPr="00FF188C" w:rsidRDefault="000069D4" w:rsidP="00A5173C">
            <w:pPr>
              <w:shd w:val="solid" w:color="FFFFFF" w:fill="FFFFFF"/>
              <w:spacing w:before="0" w:after="48" w:line="240" w:lineRule="atLeast"/>
            </w:pPr>
          </w:p>
        </w:tc>
      </w:tr>
      <w:tr w:rsidR="000069D4" w:rsidRPr="00FF188C" w14:paraId="16EB457B" w14:textId="77777777" w:rsidTr="00876A8A">
        <w:trPr>
          <w:cantSplit/>
        </w:trPr>
        <w:tc>
          <w:tcPr>
            <w:tcW w:w="6487" w:type="dxa"/>
            <w:vMerge w:val="restart"/>
          </w:tcPr>
          <w:p w14:paraId="5133016F" w14:textId="77777777" w:rsidR="00C1590E" w:rsidRPr="00FF188C" w:rsidRDefault="00C1590E" w:rsidP="00C1590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FF188C">
              <w:rPr>
                <w:rFonts w:ascii="Verdana" w:hAnsi="Verdana"/>
                <w:sz w:val="20"/>
              </w:rPr>
              <w:t>Received:</w:t>
            </w:r>
            <w:r w:rsidRPr="00FF188C">
              <w:rPr>
                <w:rFonts w:ascii="Verdana" w:hAnsi="Verdana"/>
                <w:sz w:val="20"/>
              </w:rPr>
              <w:tab/>
              <w:t>27 April 2023</w:t>
            </w:r>
          </w:p>
          <w:p w14:paraId="2CCAEF45" w14:textId="10BD4070" w:rsidR="00C1590E" w:rsidRPr="00FF188C" w:rsidRDefault="00C1590E" w:rsidP="00C1590E">
            <w:pPr>
              <w:shd w:val="solid" w:color="FFFFFF" w:fill="FFFFFF"/>
              <w:tabs>
                <w:tab w:val="clear" w:pos="1134"/>
                <w:tab w:val="clear" w:pos="1871"/>
                <w:tab w:val="clear" w:pos="2268"/>
              </w:tabs>
              <w:spacing w:before="0" w:after="240"/>
              <w:ind w:left="1134" w:hanging="1134"/>
              <w:rPr>
                <w:rFonts w:ascii="Verdana" w:hAnsi="Verdana"/>
                <w:sz w:val="20"/>
              </w:rPr>
            </w:pPr>
            <w:r w:rsidRPr="00FF188C">
              <w:rPr>
                <w:rFonts w:ascii="Verdana" w:hAnsi="Verdana"/>
                <w:sz w:val="20"/>
              </w:rPr>
              <w:t>Source:</w:t>
            </w:r>
            <w:r w:rsidR="00AE0FEA" w:rsidRPr="00FF188C">
              <w:rPr>
                <w:rFonts w:ascii="Verdana" w:hAnsi="Verdana"/>
                <w:sz w:val="20"/>
              </w:rPr>
              <w:tab/>
            </w:r>
            <w:r w:rsidRPr="00FF188C">
              <w:rPr>
                <w:rFonts w:ascii="Verdana" w:hAnsi="Verdana"/>
                <w:sz w:val="20"/>
              </w:rPr>
              <w:t xml:space="preserve">Annex 5 to Document </w:t>
            </w:r>
            <w:hyperlink r:id="rId7" w:history="1">
              <w:r w:rsidRPr="00FF188C">
                <w:rPr>
                  <w:rStyle w:val="Hyperlink"/>
                  <w:rFonts w:ascii="Verdana" w:hAnsi="Verdana"/>
                  <w:sz w:val="20"/>
                </w:rPr>
                <w:t>5A/708</w:t>
              </w:r>
            </w:hyperlink>
          </w:p>
          <w:p w14:paraId="28AA7762" w14:textId="65BA21E4" w:rsidR="00C1590E" w:rsidRPr="00FF188C" w:rsidRDefault="00C1590E" w:rsidP="00C1590E">
            <w:pPr>
              <w:shd w:val="solid" w:color="FFFFFF" w:fill="FFFFFF"/>
              <w:tabs>
                <w:tab w:val="clear" w:pos="1134"/>
                <w:tab w:val="clear" w:pos="1871"/>
                <w:tab w:val="clear" w:pos="2268"/>
              </w:tabs>
              <w:spacing w:before="0" w:after="240"/>
              <w:ind w:left="1134" w:hanging="1134"/>
              <w:rPr>
                <w:rFonts w:ascii="Verdana" w:hAnsi="Verdana"/>
                <w:sz w:val="20"/>
              </w:rPr>
            </w:pPr>
            <w:r w:rsidRPr="00FF188C">
              <w:rPr>
                <w:rFonts w:ascii="Verdana" w:hAnsi="Verdana"/>
                <w:sz w:val="20"/>
              </w:rPr>
              <w:t>Subject:</w:t>
            </w:r>
            <w:r w:rsidR="00AE0FEA" w:rsidRPr="00FF188C">
              <w:rPr>
                <w:rFonts w:ascii="Verdana" w:hAnsi="Verdana"/>
                <w:sz w:val="20"/>
              </w:rPr>
              <w:tab/>
            </w:r>
            <w:r w:rsidRPr="00FF188C">
              <w:rPr>
                <w:rFonts w:ascii="Verdana" w:hAnsi="Verdana"/>
                <w:sz w:val="20"/>
              </w:rPr>
              <w:t>WRC-23 agenda item 9.1, topic b)</w:t>
            </w:r>
            <w:r w:rsidRPr="00FF188C">
              <w:rPr>
                <w:rFonts w:ascii="Verdana" w:hAnsi="Verdana"/>
                <w:sz w:val="20"/>
              </w:rPr>
              <w:br/>
              <w:t xml:space="preserve">Resolution </w:t>
            </w:r>
            <w:r w:rsidRPr="00FF188C">
              <w:rPr>
                <w:rFonts w:ascii="Verdana" w:hAnsi="Verdana"/>
                <w:b/>
                <w:bCs/>
                <w:sz w:val="20"/>
              </w:rPr>
              <w:t xml:space="preserve">774 </w:t>
            </w:r>
            <w:r w:rsidRPr="00FF188C">
              <w:rPr>
                <w:rFonts w:ascii="Verdana" w:hAnsi="Verdana"/>
                <w:b/>
                <w:sz w:val="20"/>
              </w:rPr>
              <w:t>(WRC</w:t>
            </w:r>
            <w:r w:rsidRPr="00FF188C">
              <w:rPr>
                <w:rFonts w:ascii="Verdana" w:hAnsi="Verdana"/>
                <w:b/>
                <w:sz w:val="20"/>
              </w:rPr>
              <w:noBreakHyphen/>
              <w:t>19)</w:t>
            </w:r>
          </w:p>
        </w:tc>
        <w:tc>
          <w:tcPr>
            <w:tcW w:w="3402" w:type="dxa"/>
          </w:tcPr>
          <w:p w14:paraId="2EB2A832" w14:textId="77777777" w:rsidR="000069D4" w:rsidRPr="00FF188C" w:rsidRDefault="00C1590E" w:rsidP="00A5173C">
            <w:pPr>
              <w:shd w:val="solid" w:color="FFFFFF" w:fill="FFFFFF"/>
              <w:spacing w:before="0" w:line="240" w:lineRule="atLeast"/>
              <w:rPr>
                <w:rFonts w:ascii="Verdana" w:hAnsi="Verdana"/>
                <w:sz w:val="20"/>
                <w:lang w:eastAsia="zh-CN"/>
              </w:rPr>
            </w:pPr>
            <w:r w:rsidRPr="00FF188C">
              <w:rPr>
                <w:rFonts w:ascii="Verdana" w:hAnsi="Verdana"/>
                <w:b/>
                <w:sz w:val="20"/>
                <w:lang w:eastAsia="zh-CN"/>
              </w:rPr>
              <w:t>Document 5A/730-E</w:t>
            </w:r>
          </w:p>
        </w:tc>
      </w:tr>
      <w:tr w:rsidR="000069D4" w:rsidRPr="00FF188C" w14:paraId="4912FBD7" w14:textId="77777777" w:rsidTr="00876A8A">
        <w:trPr>
          <w:cantSplit/>
        </w:trPr>
        <w:tc>
          <w:tcPr>
            <w:tcW w:w="6487" w:type="dxa"/>
            <w:vMerge/>
          </w:tcPr>
          <w:p w14:paraId="5AD545D1" w14:textId="77777777" w:rsidR="000069D4" w:rsidRPr="00FF188C" w:rsidRDefault="000069D4" w:rsidP="00A5173C">
            <w:pPr>
              <w:spacing w:before="60"/>
              <w:jc w:val="center"/>
              <w:rPr>
                <w:b/>
                <w:smallCaps/>
                <w:sz w:val="32"/>
                <w:lang w:eastAsia="zh-CN"/>
              </w:rPr>
            </w:pPr>
            <w:bookmarkStart w:id="3" w:name="ddate" w:colFirst="1" w:colLast="1"/>
            <w:bookmarkEnd w:id="2"/>
          </w:p>
        </w:tc>
        <w:tc>
          <w:tcPr>
            <w:tcW w:w="3402" w:type="dxa"/>
          </w:tcPr>
          <w:p w14:paraId="42E43D5D" w14:textId="77777777" w:rsidR="000069D4" w:rsidRPr="00FF188C" w:rsidRDefault="00C1590E" w:rsidP="00A5173C">
            <w:pPr>
              <w:shd w:val="solid" w:color="FFFFFF" w:fill="FFFFFF"/>
              <w:spacing w:before="0" w:line="240" w:lineRule="atLeast"/>
              <w:rPr>
                <w:rFonts w:ascii="Verdana" w:hAnsi="Verdana"/>
                <w:sz w:val="20"/>
                <w:lang w:eastAsia="zh-CN"/>
              </w:rPr>
            </w:pPr>
            <w:r w:rsidRPr="00FF188C">
              <w:rPr>
                <w:rFonts w:ascii="Verdana" w:hAnsi="Verdana"/>
                <w:b/>
                <w:sz w:val="20"/>
                <w:lang w:eastAsia="zh-CN"/>
              </w:rPr>
              <w:t>28 April 2023</w:t>
            </w:r>
          </w:p>
        </w:tc>
      </w:tr>
      <w:tr w:rsidR="000069D4" w:rsidRPr="00FF188C" w14:paraId="20A381AB" w14:textId="77777777" w:rsidTr="00876A8A">
        <w:trPr>
          <w:cantSplit/>
        </w:trPr>
        <w:tc>
          <w:tcPr>
            <w:tcW w:w="6487" w:type="dxa"/>
            <w:vMerge/>
          </w:tcPr>
          <w:p w14:paraId="785445E3" w14:textId="77777777" w:rsidR="000069D4" w:rsidRPr="00FF188C" w:rsidRDefault="000069D4" w:rsidP="00A5173C">
            <w:pPr>
              <w:spacing w:before="60"/>
              <w:jc w:val="center"/>
              <w:rPr>
                <w:b/>
                <w:smallCaps/>
                <w:sz w:val="32"/>
                <w:lang w:eastAsia="zh-CN"/>
              </w:rPr>
            </w:pPr>
            <w:bookmarkStart w:id="4" w:name="dorlang" w:colFirst="1" w:colLast="1"/>
            <w:bookmarkEnd w:id="3"/>
          </w:p>
        </w:tc>
        <w:tc>
          <w:tcPr>
            <w:tcW w:w="3402" w:type="dxa"/>
          </w:tcPr>
          <w:p w14:paraId="540A0D0D" w14:textId="77777777" w:rsidR="000069D4" w:rsidRPr="00FF188C" w:rsidRDefault="00C1590E" w:rsidP="00A5173C">
            <w:pPr>
              <w:shd w:val="solid" w:color="FFFFFF" w:fill="FFFFFF"/>
              <w:spacing w:before="0" w:line="240" w:lineRule="atLeast"/>
              <w:rPr>
                <w:rFonts w:ascii="Verdana" w:eastAsia="SimSun" w:hAnsi="Verdana"/>
                <w:sz w:val="20"/>
                <w:lang w:eastAsia="zh-CN"/>
              </w:rPr>
            </w:pPr>
            <w:r w:rsidRPr="00FF188C">
              <w:rPr>
                <w:rFonts w:ascii="Verdana" w:eastAsia="SimSun" w:hAnsi="Verdana"/>
                <w:b/>
                <w:sz w:val="20"/>
                <w:lang w:eastAsia="zh-CN"/>
              </w:rPr>
              <w:t>English only</w:t>
            </w:r>
          </w:p>
        </w:tc>
      </w:tr>
      <w:tr w:rsidR="00C1590E" w:rsidRPr="00FF188C" w14:paraId="3FF6389F" w14:textId="77777777" w:rsidTr="00D046A7">
        <w:trPr>
          <w:cantSplit/>
        </w:trPr>
        <w:tc>
          <w:tcPr>
            <w:tcW w:w="9889" w:type="dxa"/>
            <w:gridSpan w:val="2"/>
          </w:tcPr>
          <w:p w14:paraId="3BB23DB6" w14:textId="18F2EF3F" w:rsidR="00C1590E" w:rsidRPr="00FF188C" w:rsidRDefault="00C1590E" w:rsidP="00C1590E">
            <w:pPr>
              <w:pStyle w:val="Source"/>
              <w:rPr>
                <w:lang w:eastAsia="zh-CN"/>
              </w:rPr>
            </w:pPr>
            <w:bookmarkStart w:id="5" w:name="dsource" w:colFirst="0" w:colLast="0"/>
            <w:bookmarkEnd w:id="4"/>
            <w:r w:rsidRPr="00FF188C">
              <w:rPr>
                <w:lang w:eastAsia="ja-JP"/>
              </w:rPr>
              <w:t>International Amateur Radio Union</w:t>
            </w:r>
          </w:p>
        </w:tc>
      </w:tr>
      <w:tr w:rsidR="00C1590E" w:rsidRPr="00FF188C" w14:paraId="31E58A13" w14:textId="77777777" w:rsidTr="00D046A7">
        <w:trPr>
          <w:cantSplit/>
        </w:trPr>
        <w:tc>
          <w:tcPr>
            <w:tcW w:w="9889" w:type="dxa"/>
            <w:gridSpan w:val="2"/>
          </w:tcPr>
          <w:p w14:paraId="63E70CDE" w14:textId="3AD100F4" w:rsidR="00C1590E" w:rsidRPr="00FF188C" w:rsidRDefault="00C1590E" w:rsidP="00C1590E">
            <w:pPr>
              <w:pStyle w:val="Title1"/>
              <w:rPr>
                <w:lang w:eastAsia="zh-CN"/>
              </w:rPr>
            </w:pPr>
            <w:bookmarkStart w:id="6" w:name="drec" w:colFirst="0" w:colLast="0"/>
            <w:bookmarkStart w:id="7" w:name="_Hlk120024624"/>
            <w:bookmarkEnd w:id="5"/>
            <w:r w:rsidRPr="00FF188C">
              <w:t>Preliminary Draft New Report ITU-R M.[</w:t>
            </w:r>
            <w:r w:rsidRPr="00FF188C">
              <w:rPr>
                <w:lang w:eastAsia="ja-JP"/>
              </w:rPr>
              <w:t>AMATEUR.CHARACTERISTICS</w:t>
            </w:r>
            <w:r w:rsidRPr="00FF188C">
              <w:t>]</w:t>
            </w:r>
            <w:bookmarkEnd w:id="7"/>
          </w:p>
        </w:tc>
      </w:tr>
      <w:tr w:rsidR="000069D4" w:rsidRPr="00FF188C" w14:paraId="5BE90B46" w14:textId="77777777" w:rsidTr="00D046A7">
        <w:trPr>
          <w:cantSplit/>
        </w:trPr>
        <w:tc>
          <w:tcPr>
            <w:tcW w:w="9889" w:type="dxa"/>
            <w:gridSpan w:val="2"/>
          </w:tcPr>
          <w:p w14:paraId="4DEEC42F" w14:textId="77777777" w:rsidR="000069D4" w:rsidRPr="00FF188C" w:rsidRDefault="000069D4" w:rsidP="00A5173C">
            <w:pPr>
              <w:pStyle w:val="Title1"/>
              <w:rPr>
                <w:lang w:eastAsia="zh-CN"/>
              </w:rPr>
            </w:pPr>
            <w:bookmarkStart w:id="8" w:name="dtitle1" w:colFirst="0" w:colLast="0"/>
            <w:bookmarkEnd w:id="6"/>
          </w:p>
        </w:tc>
      </w:tr>
    </w:tbl>
    <w:bookmarkEnd w:id="8"/>
    <w:p w14:paraId="51890009" w14:textId="77777777" w:rsidR="00C1590E" w:rsidRPr="00FF188C" w:rsidRDefault="00C1590E" w:rsidP="00AE0FEA">
      <w:pPr>
        <w:pStyle w:val="Headingb"/>
      </w:pPr>
      <w:r w:rsidRPr="00FF188C">
        <w:t xml:space="preserve">Introduction </w:t>
      </w:r>
    </w:p>
    <w:p w14:paraId="0FD34159" w14:textId="3EC10C43" w:rsidR="00C1590E" w:rsidRPr="00FF188C" w:rsidRDefault="00C1590E" w:rsidP="00AE0FEA">
      <w:pPr>
        <w:rPr>
          <w:lang w:eastAsia="zh-CN"/>
        </w:rPr>
      </w:pPr>
      <w:r w:rsidRPr="00FF188C">
        <w:rPr>
          <w:lang w:eastAsia="zh-CN"/>
        </w:rPr>
        <w:t xml:space="preserve">Report </w:t>
      </w:r>
      <w:r w:rsidR="00FF188C" w:rsidRPr="00FF188C">
        <w:rPr>
          <w:lang w:eastAsia="zh-CN"/>
        </w:rPr>
        <w:t xml:space="preserve">ITU-R </w:t>
      </w:r>
      <w:r w:rsidRPr="00FF188C">
        <w:rPr>
          <w:lang w:eastAsia="zh-CN"/>
        </w:rPr>
        <w:t>M.2513-0 has been published following approval in SG</w:t>
      </w:r>
      <w:r w:rsidR="00FF188C" w:rsidRPr="00FF188C">
        <w:rPr>
          <w:lang w:eastAsia="zh-CN"/>
        </w:rPr>
        <w:t xml:space="preserve"> </w:t>
      </w:r>
      <w:r w:rsidRPr="00FF188C">
        <w:rPr>
          <w:lang w:eastAsia="zh-CN"/>
        </w:rPr>
        <w:t>4. That report details studies on the potential for interference from the amateur and amateur satellite service applications in the range 1 240</w:t>
      </w:r>
      <w:r w:rsidR="00FF188C" w:rsidRPr="00FF188C">
        <w:rPr>
          <w:lang w:eastAsia="zh-CN"/>
        </w:rPr>
        <w:t>-</w:t>
      </w:r>
      <w:r w:rsidRPr="00FF188C">
        <w:rPr>
          <w:lang w:eastAsia="zh-CN"/>
        </w:rPr>
        <w:t xml:space="preserve">1 300 MHz and terrestrial RNSS receivers operating in the same frequency range. </w:t>
      </w:r>
    </w:p>
    <w:p w14:paraId="367EB246" w14:textId="659680EB" w:rsidR="00C1590E" w:rsidRPr="00FF188C" w:rsidRDefault="00C1590E" w:rsidP="00AE0FEA">
      <w:pPr>
        <w:rPr>
          <w:lang w:eastAsia="zh-CN"/>
        </w:rPr>
      </w:pPr>
      <w:r w:rsidRPr="00FF188C">
        <w:rPr>
          <w:lang w:eastAsia="zh-CN"/>
        </w:rPr>
        <w:t xml:space="preserve">The IARU notes that those studies are based on static minimum coupling loss estimations that take no account of the amateur services deployment data and operating schedules despite information on these aspects being provided by the amateur radio community and included in the Report </w:t>
      </w:r>
      <w:r w:rsidR="00FF188C" w:rsidRPr="00FF188C">
        <w:rPr>
          <w:lang w:eastAsia="zh-CN"/>
        </w:rPr>
        <w:t xml:space="preserve">ITU-R </w:t>
      </w:r>
      <w:r w:rsidRPr="00FF188C">
        <w:rPr>
          <w:lang w:eastAsia="zh-CN"/>
        </w:rPr>
        <w:t xml:space="preserve">M.2513-0. </w:t>
      </w:r>
    </w:p>
    <w:p w14:paraId="3589F116" w14:textId="77777777" w:rsidR="00C1590E" w:rsidRPr="00FF188C" w:rsidRDefault="00C1590E" w:rsidP="00AE0FEA">
      <w:pPr>
        <w:rPr>
          <w:szCs w:val="24"/>
          <w:lang w:eastAsia="zh-CN"/>
        </w:rPr>
      </w:pPr>
      <w:r w:rsidRPr="00FF188C">
        <w:rPr>
          <w:lang w:eastAsia="zh-CN"/>
        </w:rPr>
        <w:t>The IARU believes that to properly understand the potential for interference and thereby develop proportionate guidance for the ongoing use of the band by the amateur services then these aspects need to be considered.</w:t>
      </w:r>
    </w:p>
    <w:p w14:paraId="023124AC" w14:textId="77777777" w:rsidR="00C1590E" w:rsidRPr="00FF188C" w:rsidRDefault="00C1590E" w:rsidP="00AE0FEA">
      <w:pPr>
        <w:pStyle w:val="Headingb"/>
      </w:pPr>
      <w:r w:rsidRPr="00FF188C">
        <w:t>Proposal</w:t>
      </w:r>
    </w:p>
    <w:p w14:paraId="32587E27" w14:textId="00B84AE5" w:rsidR="00C1590E" w:rsidRPr="00FF188C" w:rsidRDefault="00C1590E" w:rsidP="00AE0FEA">
      <w:r w:rsidRPr="00FF188C">
        <w:t>Based on the parameters and operational information on the amateur and amateur satellite services in Annex 5 to 5A/708 an annex is proposed for the PDNR [AMATEUR.CHARACTERISTICS] detailing a study that assesses the impact of various amateur service transmitters on a population of RNSS receivers.</w:t>
      </w:r>
    </w:p>
    <w:p w14:paraId="07EC6355" w14:textId="77777777" w:rsidR="00C1590E" w:rsidRPr="00FF188C" w:rsidRDefault="00C1590E" w:rsidP="00AE0FEA">
      <w:r w:rsidRPr="00FF188C">
        <w:t xml:space="preserve">The proposed annex is provided in Attachment 1. </w:t>
      </w:r>
    </w:p>
    <w:p w14:paraId="561E8EEB" w14:textId="77777777" w:rsidR="00C1590E" w:rsidRPr="00FF188C" w:rsidRDefault="00C1590E" w:rsidP="00AE0FEA">
      <w:r w:rsidRPr="00FF188C">
        <w:t>A short consequential addition to the main body of the report is provided in Attachment 2.</w:t>
      </w:r>
    </w:p>
    <w:p w14:paraId="6D5DA81B" w14:textId="77777777" w:rsidR="00C1590E" w:rsidRPr="00FF188C" w:rsidRDefault="00C1590E" w:rsidP="00C1590E">
      <w:pPr>
        <w:tabs>
          <w:tab w:val="clear" w:pos="1134"/>
          <w:tab w:val="clear" w:pos="1871"/>
          <w:tab w:val="clear" w:pos="2268"/>
        </w:tabs>
        <w:overflowPunct/>
        <w:autoSpaceDE/>
        <w:autoSpaceDN/>
        <w:adjustRightInd/>
        <w:spacing w:before="0"/>
        <w:textAlignment w:val="auto"/>
        <w:rPr>
          <w:rFonts w:ascii="Times New Roman Bold" w:hAnsi="Times New Roman Bold"/>
          <w:b/>
          <w:caps/>
          <w:szCs w:val="24"/>
        </w:rPr>
      </w:pPr>
      <w:r w:rsidRPr="00FF188C">
        <w:rPr>
          <w:szCs w:val="24"/>
        </w:rPr>
        <w:br w:type="page"/>
      </w:r>
    </w:p>
    <w:p w14:paraId="3D0712BD" w14:textId="77777777" w:rsidR="00C1590E" w:rsidRPr="00FF188C" w:rsidRDefault="00C1590E" w:rsidP="00AE0FEA">
      <w:pPr>
        <w:pStyle w:val="AnnexNo"/>
      </w:pPr>
      <w:r w:rsidRPr="00FF188C">
        <w:lastRenderedPageBreak/>
        <w:t>ATTACHMENT 1</w:t>
      </w:r>
    </w:p>
    <w:p w14:paraId="5366AB1C" w14:textId="77777777" w:rsidR="00C1590E" w:rsidRPr="00FF188C" w:rsidRDefault="00C1590E" w:rsidP="00AE0FEA">
      <w:pPr>
        <w:pStyle w:val="Annextitle"/>
      </w:pPr>
      <w:r w:rsidRPr="00FF188C">
        <w:t xml:space="preserve">Annex 1: Assessing the Extent of Interference between an Amateur Station and a population of RNSS Receivers operating co-frequency and in the same area. </w:t>
      </w:r>
    </w:p>
    <w:p w14:paraId="55E777FE" w14:textId="10ADF699" w:rsidR="00C1590E" w:rsidRPr="00FF188C" w:rsidRDefault="00C1590E" w:rsidP="00AE0FEA">
      <w:pPr>
        <w:pStyle w:val="Heading2"/>
      </w:pPr>
      <w:r w:rsidRPr="00FF188C">
        <w:t>1</w:t>
      </w:r>
      <w:r w:rsidR="00AE0FEA" w:rsidRPr="00FF188C">
        <w:t>.0</w:t>
      </w:r>
      <w:r w:rsidRPr="00FF188C">
        <w:tab/>
        <w:t>Introduction</w:t>
      </w:r>
    </w:p>
    <w:p w14:paraId="2BF32D48" w14:textId="77777777" w:rsidR="00C1590E" w:rsidRPr="00FF188C" w:rsidRDefault="00C1590E" w:rsidP="00C1590E">
      <w:pPr>
        <w:rPr>
          <w:szCs w:val="24"/>
        </w:rPr>
      </w:pPr>
      <w:r w:rsidRPr="00FF188C">
        <w:rPr>
          <w:szCs w:val="24"/>
        </w:rPr>
        <w:t>This study aims to quantify the extent of interference occurring between a station of the amateur service and a population of RNSS receivers around that station. Simulations assuming the following scenarios have been carried out:</w:t>
      </w:r>
    </w:p>
    <w:p w14:paraId="2B1CED1D" w14:textId="70828944" w:rsidR="00C1590E" w:rsidRPr="00FF188C" w:rsidRDefault="00C1590E" w:rsidP="00AE0FEA">
      <w:pPr>
        <w:pStyle w:val="enumlev1"/>
      </w:pPr>
      <w:r w:rsidRPr="00FF188C">
        <w:t xml:space="preserve">a) </w:t>
      </w:r>
      <w:r w:rsidR="00AE0FEA" w:rsidRPr="00FF188C">
        <w:tab/>
      </w:r>
      <w:r w:rsidRPr="00FF188C">
        <w:t>Fixed narrow band amateur “Home” station and static RNSS receivers in fixed locations where the number of receivers is based on the population density and an estimated RNSS receiver “ownership” factor.</w:t>
      </w:r>
    </w:p>
    <w:p w14:paraId="0FC12FBB" w14:textId="5AD8DC6E" w:rsidR="00C1590E" w:rsidRPr="00FF188C" w:rsidRDefault="00C1590E" w:rsidP="00AE0FEA">
      <w:pPr>
        <w:pStyle w:val="enumlev1"/>
      </w:pPr>
      <w:r w:rsidRPr="00FF188C">
        <w:t xml:space="preserve">b) </w:t>
      </w:r>
      <w:r w:rsidR="00AE0FEA" w:rsidRPr="00FF188C">
        <w:tab/>
      </w:r>
      <w:r w:rsidRPr="00FF188C">
        <w:t>Fixed narrow band amateur “Home” station and mobile RNSS receivers, on board moving cars.</w:t>
      </w:r>
    </w:p>
    <w:p w14:paraId="0150C346" w14:textId="4C8D4E8A" w:rsidR="00C1590E" w:rsidRPr="00FF188C" w:rsidRDefault="00C1590E" w:rsidP="00AE0FEA">
      <w:pPr>
        <w:pStyle w:val="enumlev1"/>
      </w:pPr>
      <w:r w:rsidRPr="00FF188C">
        <w:t xml:space="preserve">c) </w:t>
      </w:r>
      <w:r w:rsidR="00AE0FEA" w:rsidRPr="00FF188C">
        <w:tab/>
      </w:r>
      <w:r w:rsidRPr="00FF188C">
        <w:t>Fixed broadband amateur “Home” station (ATV) and mobile RNSS receivers, on board moving cars.</w:t>
      </w:r>
    </w:p>
    <w:p w14:paraId="125FF999" w14:textId="640AD128" w:rsidR="00C1590E" w:rsidRPr="00FF188C" w:rsidRDefault="00C1590E" w:rsidP="00AE0FEA">
      <w:pPr>
        <w:pStyle w:val="enumlev1"/>
      </w:pPr>
      <w:r w:rsidRPr="00FF188C">
        <w:t xml:space="preserve">d) </w:t>
      </w:r>
      <w:r w:rsidR="00AE0FEA" w:rsidRPr="00FF188C">
        <w:tab/>
      </w:r>
      <w:r w:rsidRPr="00FF188C">
        <w:t>Fixed narrow band amateur “Permanent” station (e.g. voice repeater output channel) and mobile RNSS receivers, on board moving cars.</w:t>
      </w:r>
    </w:p>
    <w:p w14:paraId="06F719A9" w14:textId="38FBEF13" w:rsidR="00C1590E" w:rsidRPr="00FF188C" w:rsidRDefault="00C1590E" w:rsidP="00AE0FEA">
      <w:pPr>
        <w:pStyle w:val="enumlev1"/>
      </w:pPr>
      <w:r w:rsidRPr="00FF188C">
        <w:t>e)</w:t>
      </w:r>
      <w:r w:rsidR="00AE0FEA" w:rsidRPr="00FF188C">
        <w:tab/>
      </w:r>
      <w:r w:rsidRPr="00FF188C">
        <w:t>Fixed broadband amateur “Permanent” station (e.g. ATV repeater output channel) and mobile RNSS receivers, on board moving cars.</w:t>
      </w:r>
    </w:p>
    <w:p w14:paraId="50A0146A" w14:textId="77777777" w:rsidR="00C1590E" w:rsidRPr="00FF188C" w:rsidRDefault="00C1590E" w:rsidP="00C1590E">
      <w:pPr>
        <w:rPr>
          <w:szCs w:val="24"/>
        </w:rPr>
      </w:pPr>
      <w:r w:rsidRPr="00FF188C">
        <w:rPr>
          <w:szCs w:val="24"/>
        </w:rPr>
        <w:t xml:space="preserve">Each simulation calculates the signal level received by the individual RNSS receivers from an amateur station transmitter.  The simulation area depends upon the amateur station density and the number of RNSS receivers placed in the area is based on assumptions about the population and ownership factor. </w:t>
      </w:r>
    </w:p>
    <w:p w14:paraId="283C088E" w14:textId="77777777" w:rsidR="00C1590E" w:rsidRPr="00FF188C" w:rsidRDefault="00C1590E" w:rsidP="00C1590E">
      <w:pPr>
        <w:rPr>
          <w:szCs w:val="24"/>
        </w:rPr>
      </w:pPr>
      <w:r w:rsidRPr="00FF188C">
        <w:rPr>
          <w:szCs w:val="24"/>
        </w:rPr>
        <w:t>In case a) above the RNSS receivers remain fixed but are re-positioned for each run of the simulation. In the remaining cases b) to e) the mobile RNSS receivers are moved between each set of calculations according to a vehicle speed and trajectory across the simulation area. For each simulation run a new set of vehicle starting positions and speed assignments are made.</w:t>
      </w:r>
    </w:p>
    <w:p w14:paraId="2220E9E2" w14:textId="77777777" w:rsidR="00C1590E" w:rsidRPr="00FF188C" w:rsidRDefault="00C1590E" w:rsidP="00C1590E">
      <w:pPr>
        <w:rPr>
          <w:szCs w:val="24"/>
        </w:rPr>
      </w:pPr>
      <w:r w:rsidRPr="00FF188C">
        <w:rPr>
          <w:szCs w:val="24"/>
        </w:rPr>
        <w:t xml:space="preserve">The received levels are compared to the protection criteria and if above this level the receiver is labelled ”impacted” so that the statistics of the impacted receivers can be collated to determine the mean percentage of impacted receivers from the simulation population. </w:t>
      </w:r>
    </w:p>
    <w:p w14:paraId="5541487C" w14:textId="4CBDAB26" w:rsidR="00C1590E" w:rsidRPr="00FF188C" w:rsidRDefault="00C1590E" w:rsidP="00AE0FEA">
      <w:pPr>
        <w:pStyle w:val="Heading2"/>
      </w:pPr>
      <w:r w:rsidRPr="00FF188C">
        <w:t>2</w:t>
      </w:r>
      <w:r w:rsidR="00AE0FEA" w:rsidRPr="00FF188C">
        <w:t>.0</w:t>
      </w:r>
      <w:r w:rsidRPr="00FF188C">
        <w:tab/>
        <w:t>Fixed Home Station and Fixed RNSS Receiver Scenario</w:t>
      </w:r>
    </w:p>
    <w:p w14:paraId="4486AD5D" w14:textId="77777777" w:rsidR="00C1590E" w:rsidRPr="00FF188C" w:rsidRDefault="00C1590E" w:rsidP="00C1590E">
      <w:pPr>
        <w:rPr>
          <w:szCs w:val="24"/>
        </w:rPr>
      </w:pPr>
      <w:r w:rsidRPr="00FF188C">
        <w:rPr>
          <w:szCs w:val="24"/>
        </w:rPr>
        <w:t>In this simulation fixed amateur home stations and fixed RNSS receivers are considered. The number of receivers is based on the population density and an estimated “ownership” factor. RNSS receivers are considered to be in fixed locations and the number of receivers is based on the population density and an estimated RNSS receiver “ownership” factor.</w:t>
      </w:r>
    </w:p>
    <w:p w14:paraId="7DB5AD56" w14:textId="77777777" w:rsidR="00C1590E" w:rsidRPr="00FF188C" w:rsidRDefault="00C1590E" w:rsidP="00AE0FEA">
      <w:pPr>
        <w:pStyle w:val="Heading2"/>
      </w:pPr>
      <w:r w:rsidRPr="00FF188C">
        <w:t>2.1</w:t>
      </w:r>
      <w:r w:rsidRPr="00FF188C">
        <w:tab/>
        <w:t>Simulation areas and propagation model parameters</w:t>
      </w:r>
    </w:p>
    <w:p w14:paraId="3DC7B34E" w14:textId="77777777" w:rsidR="00C1590E" w:rsidRPr="00FF188C" w:rsidRDefault="00C1590E" w:rsidP="00C1590E">
      <w:pPr>
        <w:rPr>
          <w:szCs w:val="24"/>
        </w:rPr>
      </w:pPr>
      <w:r w:rsidRPr="00FF188C">
        <w:rPr>
          <w:szCs w:val="24"/>
        </w:rPr>
        <w:t>The amateur station densities are the same as those documented in section 5 of the main report.</w:t>
      </w:r>
    </w:p>
    <w:p w14:paraId="313682F1" w14:textId="77777777" w:rsidR="00C1590E" w:rsidRPr="00FF188C" w:rsidRDefault="00C1590E" w:rsidP="00C1590E">
      <w:pPr>
        <w:rPr>
          <w:szCs w:val="24"/>
        </w:rPr>
      </w:pPr>
      <w:r w:rsidRPr="00FF188C">
        <w:rPr>
          <w:szCs w:val="24"/>
        </w:rPr>
        <w:t>The amateur station density assumed in all simulations:</w:t>
      </w:r>
    </w:p>
    <w:p w14:paraId="134A1598" w14:textId="522F8761" w:rsidR="00C1590E" w:rsidRPr="00FF188C" w:rsidRDefault="00C1590E" w:rsidP="00AE0FEA">
      <w:pPr>
        <w:pStyle w:val="enumlev1"/>
      </w:pPr>
      <w:r w:rsidRPr="00FF188C">
        <w:t>•</w:t>
      </w:r>
      <w:r w:rsidRPr="00FF188C">
        <w:tab/>
        <w:t>Average Home Station and Portable station density = 1 station / 5</w:t>
      </w:r>
      <w:r w:rsidR="00FF188C" w:rsidRPr="00FF188C">
        <w:t xml:space="preserve"> </w:t>
      </w:r>
      <w:r w:rsidRPr="00FF188C">
        <w:t>000 km</w:t>
      </w:r>
      <w:r w:rsidRPr="00FF188C">
        <w:rPr>
          <w:vertAlign w:val="superscript"/>
        </w:rPr>
        <w:t>2</w:t>
      </w:r>
    </w:p>
    <w:p w14:paraId="1C2B2AFB" w14:textId="77777777" w:rsidR="00C1590E" w:rsidRPr="00FF188C" w:rsidRDefault="00C1590E" w:rsidP="00AE0FEA">
      <w:pPr>
        <w:pStyle w:val="enumlev1"/>
      </w:pPr>
      <w:r w:rsidRPr="00FF188C">
        <w:t>•</w:t>
      </w:r>
      <w:r w:rsidRPr="00FF188C">
        <w:tab/>
        <w:t>Minimum Home Station and Portable station density = 1 station / 16,700 km</w:t>
      </w:r>
      <w:r w:rsidRPr="00FF188C">
        <w:rPr>
          <w:vertAlign w:val="superscript"/>
        </w:rPr>
        <w:t>2</w:t>
      </w:r>
    </w:p>
    <w:p w14:paraId="3F1CB2F4" w14:textId="77777777" w:rsidR="00C1590E" w:rsidRPr="00FF188C" w:rsidRDefault="00C1590E" w:rsidP="00AE0FEA">
      <w:pPr>
        <w:pStyle w:val="enumlev1"/>
      </w:pPr>
      <w:r w:rsidRPr="00FF188C">
        <w:t>•</w:t>
      </w:r>
      <w:r w:rsidRPr="00FF188C">
        <w:tab/>
        <w:t>Maximum Home Station and Portable station density = 1 station / 625 km</w:t>
      </w:r>
      <w:r w:rsidRPr="00FF188C">
        <w:rPr>
          <w:vertAlign w:val="superscript"/>
        </w:rPr>
        <w:t>2</w:t>
      </w:r>
    </w:p>
    <w:p w14:paraId="4B0A1754" w14:textId="77777777" w:rsidR="00C1590E" w:rsidRPr="00FF188C" w:rsidRDefault="00C1590E" w:rsidP="00C1590E">
      <w:pPr>
        <w:rPr>
          <w:szCs w:val="24"/>
        </w:rPr>
      </w:pPr>
    </w:p>
    <w:p w14:paraId="5D2DBF71" w14:textId="77777777" w:rsidR="00C1590E" w:rsidRPr="00FF188C" w:rsidRDefault="00C1590E" w:rsidP="00C1590E">
      <w:pPr>
        <w:rPr>
          <w:szCs w:val="24"/>
        </w:rPr>
      </w:pPr>
      <w:r w:rsidRPr="00FF188C">
        <w:rPr>
          <w:szCs w:val="24"/>
        </w:rPr>
        <w:lastRenderedPageBreak/>
        <w:t>The simulation area according to each amateur station density:</w:t>
      </w:r>
    </w:p>
    <w:p w14:paraId="3F16284B" w14:textId="77777777" w:rsidR="00C1590E" w:rsidRPr="00FF188C" w:rsidRDefault="00C1590E" w:rsidP="00AE0FEA">
      <w:pPr>
        <w:pStyle w:val="enumlev1"/>
      </w:pPr>
      <w:r w:rsidRPr="00FF188C">
        <w:t>•</w:t>
      </w:r>
      <w:r w:rsidRPr="00FF188C">
        <w:tab/>
        <w:t>Average Home Station and Portable station density = 70 x 70 km</w:t>
      </w:r>
    </w:p>
    <w:p w14:paraId="5014A1B5" w14:textId="77777777" w:rsidR="00C1590E" w:rsidRPr="00FF188C" w:rsidRDefault="00C1590E" w:rsidP="00AE0FEA">
      <w:pPr>
        <w:pStyle w:val="enumlev1"/>
      </w:pPr>
      <w:r w:rsidRPr="00FF188C">
        <w:t>•</w:t>
      </w:r>
      <w:r w:rsidRPr="00FF188C">
        <w:tab/>
        <w:t>Minimum Home Station and Portable station density = 130 x 130 km</w:t>
      </w:r>
    </w:p>
    <w:p w14:paraId="428C7C23" w14:textId="77777777" w:rsidR="00C1590E" w:rsidRPr="00FF188C" w:rsidRDefault="00C1590E" w:rsidP="00AE0FEA">
      <w:pPr>
        <w:pStyle w:val="enumlev1"/>
      </w:pPr>
      <w:r w:rsidRPr="00FF188C">
        <w:t>•</w:t>
      </w:r>
      <w:r w:rsidRPr="00FF188C">
        <w:tab/>
        <w:t>Maximum Home Station and Portable station density = 25 x 25 km</w:t>
      </w:r>
    </w:p>
    <w:p w14:paraId="1D6E7E21" w14:textId="77777777" w:rsidR="00C1590E" w:rsidRPr="00FF188C" w:rsidRDefault="00C1590E" w:rsidP="00C1590E">
      <w:pPr>
        <w:rPr>
          <w:szCs w:val="24"/>
        </w:rPr>
      </w:pPr>
      <w:r w:rsidRPr="00FF188C">
        <w:rPr>
          <w:szCs w:val="24"/>
        </w:rPr>
        <w:t>The propagation model parameters are:</w:t>
      </w:r>
    </w:p>
    <w:p w14:paraId="32E97B93" w14:textId="53E19ABE" w:rsidR="00C1590E" w:rsidRPr="00FF188C" w:rsidRDefault="00C1590E" w:rsidP="00AE0FEA">
      <w:pPr>
        <w:pStyle w:val="enumlev1"/>
      </w:pPr>
      <w:r w:rsidRPr="00FF188C">
        <w:t>•</w:t>
      </w:r>
      <w:r w:rsidRPr="00FF188C">
        <w:tab/>
        <w:t xml:space="preserve">Recommendation </w:t>
      </w:r>
      <w:r w:rsidR="00FF188C" w:rsidRPr="00FF188C">
        <w:t xml:space="preserve">ITU-R </w:t>
      </w:r>
      <w:r w:rsidRPr="00FF188C">
        <w:t>P.1546 Matlab code provided by ITU. Latest update (3</w:t>
      </w:r>
      <w:r w:rsidRPr="00FF188C">
        <w:rPr>
          <w:vertAlign w:val="superscript"/>
        </w:rPr>
        <w:t>rd</w:t>
      </w:r>
      <w:r w:rsidRPr="00FF188C">
        <w:t xml:space="preserve"> May 2019) is available from </w:t>
      </w:r>
      <w:hyperlink r:id="rId8" w:history="1">
        <w:r w:rsidRPr="00FF188C">
          <w:rPr>
            <w:rStyle w:val="Hyperlink"/>
          </w:rPr>
          <w:t>https://www.itu.int/md/R15-WP3K-C-0289/en</w:t>
        </w:r>
      </w:hyperlink>
      <w:r w:rsidRPr="00FF188C">
        <w:t>.</w:t>
      </w:r>
    </w:p>
    <w:p w14:paraId="42368A19" w14:textId="77777777" w:rsidR="00C1590E" w:rsidRPr="00FF188C" w:rsidRDefault="00C1590E" w:rsidP="00AE0FEA">
      <w:pPr>
        <w:pStyle w:val="enumlev1"/>
      </w:pPr>
      <w:r w:rsidRPr="00FF188C">
        <w:t>•</w:t>
      </w:r>
      <w:r w:rsidRPr="00FF188C">
        <w:tab/>
        <w:t>Location variability: 50%</w:t>
      </w:r>
    </w:p>
    <w:p w14:paraId="415CB6CD" w14:textId="77777777" w:rsidR="00C1590E" w:rsidRPr="00FF188C" w:rsidRDefault="00C1590E" w:rsidP="00AE0FEA">
      <w:pPr>
        <w:pStyle w:val="enumlev1"/>
      </w:pPr>
      <w:r w:rsidRPr="00FF188C">
        <w:t>•</w:t>
      </w:r>
      <w:r w:rsidRPr="00FF188C">
        <w:tab/>
        <w:t>Required percentage time: 1%</w:t>
      </w:r>
    </w:p>
    <w:p w14:paraId="7E96CC2E" w14:textId="77777777" w:rsidR="00C1590E" w:rsidRPr="00FF188C" w:rsidRDefault="00C1590E" w:rsidP="00AE0FEA">
      <w:pPr>
        <w:pStyle w:val="Heading2"/>
      </w:pPr>
      <w:r w:rsidRPr="00FF188C">
        <w:t>2.2</w:t>
      </w:r>
      <w:r w:rsidRPr="00FF188C">
        <w:tab/>
        <w:t>Population Density</w:t>
      </w:r>
    </w:p>
    <w:p w14:paraId="7A24070E" w14:textId="38136A95" w:rsidR="00C1590E" w:rsidRPr="00FF188C" w:rsidRDefault="00C1590E" w:rsidP="00C1590E">
      <w:pPr>
        <w:rPr>
          <w:szCs w:val="24"/>
        </w:rPr>
      </w:pPr>
      <w:r w:rsidRPr="00FF188C">
        <w:rPr>
          <w:szCs w:val="24"/>
        </w:rPr>
        <w:t>The study was based on population data for France, based on National Institute for Statistics (INSEE):</w:t>
      </w:r>
    </w:p>
    <w:p w14:paraId="7649694F" w14:textId="77777777" w:rsidR="00AE0FEA" w:rsidRPr="00FF188C" w:rsidRDefault="00AE0FEA" w:rsidP="00AE0FEA">
      <w:pPr>
        <w:pStyle w:val="FigureNo"/>
      </w:pPr>
      <w:r w:rsidRPr="00FF188C">
        <w:t>Figure 1</w:t>
      </w:r>
    </w:p>
    <w:p w14:paraId="69CCAA2B" w14:textId="3A7359D1" w:rsidR="00AE0FEA" w:rsidRPr="00FF188C" w:rsidRDefault="00AE0FEA" w:rsidP="00AE0FEA">
      <w:pPr>
        <w:pStyle w:val="Figuretitle"/>
      </w:pPr>
      <w:r w:rsidRPr="00FF188C">
        <w:t>Population density data extract for France</w:t>
      </w:r>
    </w:p>
    <w:p w14:paraId="532F9826" w14:textId="77777777" w:rsidR="00C1590E" w:rsidRPr="00FF188C" w:rsidRDefault="00C1590E" w:rsidP="00AE0FEA">
      <w:pPr>
        <w:pStyle w:val="Figure"/>
        <w:rPr>
          <w:noProof w:val="0"/>
        </w:rPr>
      </w:pPr>
      <w:r w:rsidRPr="00FF188C">
        <w:rPr>
          <w:noProof w:val="0"/>
        </w:rPr>
        <w:drawing>
          <wp:inline distT="0" distB="0" distL="0" distR="0" wp14:anchorId="00846C17" wp14:editId="73335311">
            <wp:extent cx="4020577" cy="3193576"/>
            <wp:effectExtent l="0" t="0" r="0" b="698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7770" cy="3215175"/>
                    </a:xfrm>
                    <a:prstGeom prst="rect">
                      <a:avLst/>
                    </a:prstGeom>
                    <a:noFill/>
                  </pic:spPr>
                </pic:pic>
              </a:graphicData>
            </a:graphic>
          </wp:inline>
        </w:drawing>
      </w:r>
    </w:p>
    <w:p w14:paraId="0F310A90" w14:textId="77777777" w:rsidR="00C1590E" w:rsidRPr="00FF188C" w:rsidRDefault="00C1590E" w:rsidP="00C1590E">
      <w:pPr>
        <w:rPr>
          <w:szCs w:val="24"/>
        </w:rPr>
      </w:pPr>
      <w:r w:rsidRPr="00FF188C">
        <w:rPr>
          <w:szCs w:val="24"/>
        </w:rPr>
        <w:t>Three different population densities are identified:</w:t>
      </w:r>
    </w:p>
    <w:p w14:paraId="676EEA16" w14:textId="15CB1361" w:rsidR="00C1590E" w:rsidRPr="00FF188C" w:rsidRDefault="00C1590E" w:rsidP="00AE0FEA">
      <w:pPr>
        <w:pStyle w:val="enumlev1"/>
      </w:pPr>
      <w:r w:rsidRPr="00FF188C">
        <w:t>1</w:t>
      </w:r>
      <w:r w:rsidRPr="00FF188C">
        <w:tab/>
        <w:t>“Rural”, typically Bourgogne, with a density of 58 inhabitants / km</w:t>
      </w:r>
      <w:r w:rsidRPr="00FF188C">
        <w:rPr>
          <w:vertAlign w:val="superscript"/>
        </w:rPr>
        <w:t>2</w:t>
      </w:r>
    </w:p>
    <w:p w14:paraId="25173B8A" w14:textId="7AC5EABB" w:rsidR="00C1590E" w:rsidRPr="00FF188C" w:rsidRDefault="00C1590E" w:rsidP="00AE0FEA">
      <w:pPr>
        <w:pStyle w:val="enumlev1"/>
        <w:rPr>
          <w:rPrChange w:id="9" w:author="Norton Viard, Emma" w:date="2023-04-28T08:30:00Z">
            <w:rPr>
              <w:szCs w:val="24"/>
            </w:rPr>
          </w:rPrChange>
        </w:rPr>
      </w:pPr>
      <w:r w:rsidRPr="00FF188C">
        <w:rPr>
          <w:rPrChange w:id="10" w:author="Norton Viard, Emma" w:date="2023-04-28T08:30:00Z">
            <w:rPr>
              <w:szCs w:val="24"/>
            </w:rPr>
          </w:rPrChange>
        </w:rPr>
        <w:t>2</w:t>
      </w:r>
      <w:r w:rsidRPr="00FF188C">
        <w:rPr>
          <w:rPrChange w:id="11" w:author="Norton Viard, Emma" w:date="2023-04-28T08:30:00Z">
            <w:rPr>
              <w:szCs w:val="24"/>
            </w:rPr>
          </w:rPrChange>
        </w:rPr>
        <w:tab/>
        <w:t>“Urban”: Paris &amp; direct suburbs (Ile de France), 1022 inhabitants / km</w:t>
      </w:r>
      <w:r w:rsidRPr="00FF188C">
        <w:rPr>
          <w:vertAlign w:val="superscript"/>
          <w:rPrChange w:id="12" w:author="Norton Viard, Emma" w:date="2023-04-28T08:30:00Z">
            <w:rPr>
              <w:szCs w:val="24"/>
              <w:vertAlign w:val="superscript"/>
            </w:rPr>
          </w:rPrChange>
        </w:rPr>
        <w:t>2</w:t>
      </w:r>
    </w:p>
    <w:p w14:paraId="0753E60B" w14:textId="2AB32510" w:rsidR="00C1590E" w:rsidRPr="00FF188C" w:rsidRDefault="00C1590E" w:rsidP="00AE0FEA">
      <w:pPr>
        <w:pStyle w:val="enumlev1"/>
        <w:rPr>
          <w:vertAlign w:val="superscript"/>
        </w:rPr>
      </w:pPr>
      <w:r w:rsidRPr="00FF188C">
        <w:t>3</w:t>
      </w:r>
      <w:r w:rsidRPr="00FF188C">
        <w:tab/>
        <w:t>“Average”: France average is 119 inhabitants / km</w:t>
      </w:r>
      <w:r w:rsidRPr="00FF188C">
        <w:rPr>
          <w:vertAlign w:val="superscript"/>
        </w:rPr>
        <w:t>2</w:t>
      </w:r>
    </w:p>
    <w:p w14:paraId="5AB4D016" w14:textId="77777777" w:rsidR="00C1590E" w:rsidRPr="00FF188C" w:rsidRDefault="00C1590E" w:rsidP="00AE0FEA">
      <w:pPr>
        <w:pStyle w:val="Heading2"/>
      </w:pPr>
      <w:r w:rsidRPr="00FF188C">
        <w:t>2.3</w:t>
      </w:r>
      <w:r w:rsidRPr="00FF188C">
        <w:tab/>
        <w:t>Simulation Parameters</w:t>
      </w:r>
    </w:p>
    <w:p w14:paraId="659FC8A3" w14:textId="77777777" w:rsidR="00C1590E" w:rsidRPr="00FF188C" w:rsidRDefault="00C1590E" w:rsidP="00C1590E">
      <w:pPr>
        <w:rPr>
          <w:szCs w:val="24"/>
        </w:rPr>
      </w:pPr>
      <w:r w:rsidRPr="00FF188C">
        <w:rPr>
          <w:szCs w:val="24"/>
        </w:rPr>
        <w:t>The following parameters were assumed for the amateur home station and the RNSS receivers:</w:t>
      </w:r>
    </w:p>
    <w:p w14:paraId="3DE0FD97" w14:textId="77777777" w:rsidR="00C1590E" w:rsidRPr="00FF188C" w:rsidRDefault="00C1590E" w:rsidP="00AE0FEA">
      <w:pPr>
        <w:pStyle w:val="enumlev1"/>
      </w:pPr>
      <w:r w:rsidRPr="00FF188C">
        <w:t>•</w:t>
      </w:r>
      <w:r w:rsidRPr="00FF188C">
        <w:tab/>
        <w:t xml:space="preserve">Average, minimum and maximum home station density. </w:t>
      </w:r>
    </w:p>
    <w:p w14:paraId="7B6D64AA" w14:textId="77777777" w:rsidR="00C1590E" w:rsidRPr="00FF188C" w:rsidRDefault="00C1590E" w:rsidP="00AE0FEA">
      <w:pPr>
        <w:pStyle w:val="enumlev1"/>
      </w:pPr>
      <w:r w:rsidRPr="00FF188C">
        <w:t>•</w:t>
      </w:r>
      <w:r w:rsidRPr="00FF188C">
        <w:tab/>
        <w:t>Simulation area: According to the station density.</w:t>
      </w:r>
    </w:p>
    <w:p w14:paraId="2EBBD3A8" w14:textId="0B669DF1" w:rsidR="00C1590E" w:rsidRPr="00FF188C" w:rsidRDefault="00C1590E" w:rsidP="00AE0FEA">
      <w:pPr>
        <w:pStyle w:val="enumlev1"/>
      </w:pPr>
      <w:r w:rsidRPr="00FF188C">
        <w:t>•</w:t>
      </w:r>
      <w:r w:rsidRPr="00FF188C">
        <w:tab/>
        <w:t>Transmitter frequency: 1</w:t>
      </w:r>
      <w:r w:rsidR="00FF188C" w:rsidRPr="00FF188C">
        <w:t> </w:t>
      </w:r>
      <w:r w:rsidRPr="00FF188C">
        <w:t>297 MHz</w:t>
      </w:r>
    </w:p>
    <w:p w14:paraId="76B39E48" w14:textId="77777777" w:rsidR="00C1590E" w:rsidRPr="00FF188C" w:rsidRDefault="00C1590E" w:rsidP="00AE0FEA">
      <w:pPr>
        <w:pStyle w:val="enumlev1"/>
      </w:pPr>
      <w:r w:rsidRPr="00FF188C">
        <w:lastRenderedPageBreak/>
        <w:t>•</w:t>
      </w:r>
      <w:r w:rsidRPr="00FF188C">
        <w:tab/>
        <w:t>Transmitter Antenna gain: 18 dBi</w:t>
      </w:r>
    </w:p>
    <w:p w14:paraId="63CC3095" w14:textId="77777777" w:rsidR="00C1590E" w:rsidRPr="00FF188C" w:rsidRDefault="00C1590E" w:rsidP="00AE0FEA">
      <w:pPr>
        <w:pStyle w:val="enumlev1"/>
      </w:pPr>
      <w:r w:rsidRPr="00FF188C">
        <w:t>•</w:t>
      </w:r>
      <w:r w:rsidRPr="00FF188C">
        <w:tab/>
        <w:t xml:space="preserve">Transmitter power: 150 Watts </w:t>
      </w:r>
    </w:p>
    <w:p w14:paraId="2B70AADB" w14:textId="77777777" w:rsidR="00C1590E" w:rsidRPr="00FF188C" w:rsidRDefault="00C1590E" w:rsidP="00AE0FEA">
      <w:pPr>
        <w:pStyle w:val="enumlev1"/>
      </w:pPr>
      <w:r w:rsidRPr="00FF188C">
        <w:t>•</w:t>
      </w:r>
      <w:r w:rsidRPr="00FF188C">
        <w:tab/>
        <w:t>Effective height of the amateur station antenna: 12 meters</w:t>
      </w:r>
    </w:p>
    <w:p w14:paraId="1C576E86" w14:textId="77777777" w:rsidR="00C1590E" w:rsidRPr="00FF188C" w:rsidRDefault="00C1590E" w:rsidP="00AE0FEA">
      <w:pPr>
        <w:pStyle w:val="enumlev1"/>
      </w:pPr>
      <w:r w:rsidRPr="00FF188C">
        <w:t>•</w:t>
      </w:r>
      <w:r w:rsidRPr="00FF188C">
        <w:tab/>
        <w:t>Receiver antenna height: 1.5 meters</w:t>
      </w:r>
    </w:p>
    <w:p w14:paraId="6137D1C9" w14:textId="61191C5F" w:rsidR="00C1590E" w:rsidRPr="00FF188C" w:rsidRDefault="00C1590E" w:rsidP="00AE0FEA">
      <w:pPr>
        <w:pStyle w:val="enumlev1"/>
      </w:pPr>
      <w:r w:rsidRPr="00FF188C">
        <w:t>•</w:t>
      </w:r>
      <w:r w:rsidRPr="00FF188C">
        <w:tab/>
        <w:t xml:space="preserve">Narrow band receiver max interference threshold: </w:t>
      </w:r>
      <w:r w:rsidR="00FF188C" w:rsidRPr="00FF188C">
        <w:t>–</w:t>
      </w:r>
      <w:r w:rsidRPr="00FF188C">
        <w:t>134.5 dBW</w:t>
      </w:r>
    </w:p>
    <w:p w14:paraId="3577F452" w14:textId="138FB6DB" w:rsidR="00C1590E" w:rsidRPr="00FF188C" w:rsidRDefault="00C1590E" w:rsidP="00AE0FEA">
      <w:pPr>
        <w:pStyle w:val="enumlev1"/>
      </w:pPr>
      <w:r w:rsidRPr="00FF188C">
        <w:t>•</w:t>
      </w:r>
      <w:r w:rsidRPr="00FF188C">
        <w:tab/>
        <w:t xml:space="preserve">Receiver antenna gain: </w:t>
      </w:r>
      <w:r w:rsidR="00FF188C" w:rsidRPr="00FF188C">
        <w:t>–</w:t>
      </w:r>
      <w:r w:rsidRPr="00FF188C">
        <w:t>6 dBi, omnidirectional.</w:t>
      </w:r>
    </w:p>
    <w:p w14:paraId="55E4C1A2" w14:textId="1B626259" w:rsidR="00C1590E" w:rsidRPr="00FF188C" w:rsidRDefault="00C1590E" w:rsidP="00AE0FEA">
      <w:pPr>
        <w:pStyle w:val="enumlev1"/>
      </w:pPr>
      <w:r w:rsidRPr="00FF188C">
        <w:t>•</w:t>
      </w:r>
      <w:r w:rsidRPr="00FF188C">
        <w:tab/>
        <w:t>Polarisation Loss = 3</w:t>
      </w:r>
      <w:r w:rsidR="00FF188C" w:rsidRPr="00FF188C">
        <w:t xml:space="preserve"> </w:t>
      </w:r>
      <w:r w:rsidRPr="00FF188C">
        <w:t>dB</w:t>
      </w:r>
    </w:p>
    <w:p w14:paraId="43E54782" w14:textId="1FFB09F4" w:rsidR="00C1590E" w:rsidRPr="00FF188C" w:rsidRDefault="00C1590E" w:rsidP="00AE0FEA">
      <w:pPr>
        <w:pStyle w:val="enumlev1"/>
      </w:pPr>
      <w:r w:rsidRPr="00FF188C">
        <w:t>•</w:t>
      </w:r>
      <w:r w:rsidRPr="00FF188C">
        <w:tab/>
        <w:t xml:space="preserve">Rec. </w:t>
      </w:r>
      <w:r w:rsidR="00FF188C" w:rsidRPr="00FF188C">
        <w:t xml:space="preserve">ITU-R </w:t>
      </w:r>
      <w:r w:rsidRPr="00FF188C">
        <w:t xml:space="preserve">P.1546 ‘area’ parameter: rural, urban and dense urban </w:t>
      </w:r>
    </w:p>
    <w:p w14:paraId="4DF51008" w14:textId="45EA81D4" w:rsidR="00C1590E" w:rsidRPr="00FF188C" w:rsidRDefault="00C1590E" w:rsidP="00AE0FEA">
      <w:pPr>
        <w:pStyle w:val="enumlev1"/>
      </w:pPr>
      <w:r w:rsidRPr="00FF188C">
        <w:t>•</w:t>
      </w:r>
      <w:r w:rsidRPr="00FF188C">
        <w:tab/>
        <w:t xml:space="preserve">Rec. </w:t>
      </w:r>
      <w:r w:rsidR="00FF188C" w:rsidRPr="00FF188C">
        <w:t xml:space="preserve">ITU-R </w:t>
      </w:r>
      <w:r w:rsidRPr="00FF188C">
        <w:t>P.1546 clutter height: 10</w:t>
      </w:r>
      <w:r w:rsidR="00FF188C" w:rsidRPr="00FF188C">
        <w:t xml:space="preserve"> </w:t>
      </w:r>
      <w:r w:rsidRPr="00FF188C">
        <w:t>m, 20</w:t>
      </w:r>
      <w:r w:rsidR="00FF188C" w:rsidRPr="00FF188C">
        <w:t xml:space="preserve"> </w:t>
      </w:r>
      <w:r w:rsidRPr="00FF188C">
        <w:t>m and 30</w:t>
      </w:r>
      <w:r w:rsidR="00FF188C" w:rsidRPr="00FF188C">
        <w:t xml:space="preserve"> </w:t>
      </w:r>
      <w:r w:rsidRPr="00FF188C">
        <w:t>m (according to rural, urban or dense urban area parameter respectively).</w:t>
      </w:r>
    </w:p>
    <w:p w14:paraId="4D74D986" w14:textId="77777777" w:rsidR="00C1590E" w:rsidRPr="00FF188C" w:rsidRDefault="00C1590E" w:rsidP="00AE0FEA">
      <w:pPr>
        <w:pStyle w:val="enumlev1"/>
      </w:pPr>
      <w:r w:rsidRPr="00FF188C">
        <w:t>•</w:t>
      </w:r>
      <w:r w:rsidRPr="00FF188C">
        <w:tab/>
        <w:t>Location variability: 50%</w:t>
      </w:r>
    </w:p>
    <w:p w14:paraId="16C9C29F" w14:textId="77777777" w:rsidR="00C1590E" w:rsidRPr="00FF188C" w:rsidRDefault="00C1590E" w:rsidP="00AE0FEA">
      <w:pPr>
        <w:pStyle w:val="enumlev1"/>
      </w:pPr>
      <w:r w:rsidRPr="00FF188C">
        <w:t>•</w:t>
      </w:r>
      <w:r w:rsidRPr="00FF188C">
        <w:tab/>
        <w:t>Required percentage time: 1%</w:t>
      </w:r>
    </w:p>
    <w:p w14:paraId="553C188A" w14:textId="77777777" w:rsidR="00C1590E" w:rsidRPr="00FF188C" w:rsidRDefault="00C1590E" w:rsidP="00AE0FEA">
      <w:pPr>
        <w:pStyle w:val="enumlev1"/>
      </w:pPr>
      <w:r w:rsidRPr="00FF188C">
        <w:t>•</w:t>
      </w:r>
      <w:r w:rsidRPr="00FF188C">
        <w:tab/>
        <w:t>Use ratio: 10% of the population is using the RNSS receiver at simulation time.</w:t>
      </w:r>
    </w:p>
    <w:p w14:paraId="23E932C4" w14:textId="77777777" w:rsidR="00C1590E" w:rsidRPr="00FF188C" w:rsidRDefault="00C1590E" w:rsidP="00C1590E">
      <w:pPr>
        <w:rPr>
          <w:szCs w:val="24"/>
        </w:rPr>
      </w:pPr>
      <w:r w:rsidRPr="00FF188C">
        <w:rPr>
          <w:szCs w:val="24"/>
        </w:rPr>
        <w:t>The potential number of victim receivers (</w:t>
      </w:r>
      <w:r w:rsidRPr="00FF188C">
        <w:rPr>
          <w:b/>
          <w:i/>
          <w:szCs w:val="24"/>
        </w:rPr>
        <w:t>N</w:t>
      </w:r>
      <w:r w:rsidRPr="00FF188C">
        <w:rPr>
          <w:szCs w:val="24"/>
        </w:rPr>
        <w:t>) = (Simulation area) * (Population density) * (Use ratio)</w:t>
      </w:r>
    </w:p>
    <w:p w14:paraId="444D58DA" w14:textId="77777777" w:rsidR="00C1590E" w:rsidRPr="00FF188C" w:rsidRDefault="00C1590E" w:rsidP="00AE0FEA">
      <w:pPr>
        <w:pStyle w:val="Heading2"/>
      </w:pPr>
      <w:r w:rsidRPr="00FF188C">
        <w:t>2.4</w:t>
      </w:r>
      <w:r w:rsidRPr="00FF188C">
        <w:tab/>
        <w:t>Simulation Method</w:t>
      </w:r>
    </w:p>
    <w:p w14:paraId="66568041" w14:textId="77777777" w:rsidR="00C1590E" w:rsidRPr="00FF188C" w:rsidRDefault="00C1590E" w:rsidP="00C1590E">
      <w:pPr>
        <w:rPr>
          <w:szCs w:val="24"/>
        </w:rPr>
      </w:pPr>
      <w:r w:rsidRPr="00FF188C">
        <w:rPr>
          <w:szCs w:val="24"/>
        </w:rPr>
        <w:t>At each simulation iteration step (one run), the victim receivers are randomly placed in the simulation area. The (x, y) coordinates of each receiver are initialized from two distinct random uniform distributions.</w:t>
      </w:r>
    </w:p>
    <w:p w14:paraId="1F832E62" w14:textId="77777777" w:rsidR="00C1590E" w:rsidRPr="00FF188C" w:rsidRDefault="00C1590E" w:rsidP="00C1590E">
      <w:pPr>
        <w:rPr>
          <w:szCs w:val="24"/>
        </w:rPr>
      </w:pPr>
      <w:r w:rsidRPr="00FF188C">
        <w:rPr>
          <w:szCs w:val="24"/>
        </w:rPr>
        <w:t>For each receiver we compute:</w:t>
      </w:r>
    </w:p>
    <w:p w14:paraId="0697273E" w14:textId="77777777" w:rsidR="00C1590E" w:rsidRPr="00FF188C" w:rsidRDefault="00C1590E" w:rsidP="00AE0FEA">
      <w:pPr>
        <w:pStyle w:val="enumlev1"/>
      </w:pPr>
      <w:r w:rsidRPr="00FF188C">
        <w:t>•</w:t>
      </w:r>
      <w:r w:rsidRPr="00FF188C">
        <w:tab/>
        <w:t>Distance to the transmitter,</w:t>
      </w:r>
    </w:p>
    <w:p w14:paraId="6FC92D7E" w14:textId="77777777" w:rsidR="00C1590E" w:rsidRPr="00FF188C" w:rsidRDefault="00C1590E" w:rsidP="00AE0FEA">
      <w:pPr>
        <w:pStyle w:val="enumlev1"/>
      </w:pPr>
      <w:r w:rsidRPr="00FF188C">
        <w:t>•</w:t>
      </w:r>
      <w:r w:rsidRPr="00FF188C">
        <w:tab/>
        <w:t>Angle to the main lobe of the transmitter antenna.</w:t>
      </w:r>
    </w:p>
    <w:p w14:paraId="0D8B8F78" w14:textId="4B7B6A31" w:rsidR="00C1590E" w:rsidRPr="00FF188C" w:rsidRDefault="00C1590E" w:rsidP="00C1590E">
      <w:pPr>
        <w:rPr>
          <w:szCs w:val="24"/>
        </w:rPr>
      </w:pPr>
      <w:r w:rsidRPr="00FF188C">
        <w:rPr>
          <w:szCs w:val="24"/>
        </w:rPr>
        <w:t xml:space="preserve">From the angle to the main lobe, the antenna gain is estimated according to Recommendation </w:t>
      </w:r>
      <w:r w:rsidR="00FF188C" w:rsidRPr="00FF188C">
        <w:rPr>
          <w:szCs w:val="24"/>
        </w:rPr>
        <w:t xml:space="preserve">ITU-R </w:t>
      </w:r>
      <w:r w:rsidRPr="00FF188C">
        <w:rPr>
          <w:szCs w:val="24"/>
        </w:rPr>
        <w:t>F.1336-5. Then the received level is computed as:</w:t>
      </w:r>
    </w:p>
    <w:p w14:paraId="3E0B9482" w14:textId="77777777" w:rsidR="00C1590E" w:rsidRPr="00FF188C" w:rsidRDefault="00C1590E" w:rsidP="00AE0FEA">
      <w:pPr>
        <w:pStyle w:val="enumlev1"/>
      </w:pPr>
      <w:r w:rsidRPr="00FF188C">
        <w:t>•</w:t>
      </w:r>
      <w:r w:rsidRPr="00FF188C">
        <w:tab/>
        <w:t>Received level = (transmitter power) + (transmitter antenna gain) + (receiver antenna gain) - (path loss)</w:t>
      </w:r>
    </w:p>
    <w:p w14:paraId="5D4D159E" w14:textId="77777777" w:rsidR="00C1590E" w:rsidRPr="00FF188C" w:rsidRDefault="00C1590E" w:rsidP="00C1590E">
      <w:pPr>
        <w:rPr>
          <w:szCs w:val="24"/>
        </w:rPr>
      </w:pPr>
      <w:r w:rsidRPr="00FF188C">
        <w:rPr>
          <w:szCs w:val="24"/>
        </w:rPr>
        <w:t>Where the path loss value is provided by the ITU-R P.1546 Matlab code.</w:t>
      </w:r>
    </w:p>
    <w:p w14:paraId="714338CB" w14:textId="77777777" w:rsidR="00C1590E" w:rsidRPr="00FF188C" w:rsidRDefault="00C1590E" w:rsidP="00C1590E">
      <w:pPr>
        <w:rPr>
          <w:szCs w:val="24"/>
        </w:rPr>
      </w:pPr>
      <w:r w:rsidRPr="00FF188C">
        <w:rPr>
          <w:szCs w:val="24"/>
        </w:rPr>
        <w:t>Each time the received level is above the RNSS receiver interference threshold the receiver is counted as “</w:t>
      </w:r>
      <w:r w:rsidRPr="00FF188C">
        <w:rPr>
          <w:b/>
          <w:szCs w:val="24"/>
        </w:rPr>
        <w:t>impacted</w:t>
      </w:r>
      <w:r w:rsidRPr="00FF188C">
        <w:rPr>
          <w:szCs w:val="24"/>
        </w:rPr>
        <w:t>”.</w:t>
      </w:r>
    </w:p>
    <w:p w14:paraId="3AE6C140" w14:textId="77777777" w:rsidR="00C1590E" w:rsidRPr="00FF188C" w:rsidRDefault="00C1590E" w:rsidP="00C1590E">
      <w:pPr>
        <w:rPr>
          <w:szCs w:val="24"/>
        </w:rPr>
      </w:pPr>
      <w:r w:rsidRPr="00FF188C">
        <w:rPr>
          <w:szCs w:val="24"/>
        </w:rPr>
        <w:t xml:space="preserve">At the end of one simulation step, we have </w:t>
      </w:r>
      <w:r w:rsidRPr="00FF188C">
        <w:rPr>
          <w:b/>
          <w:i/>
          <w:szCs w:val="24"/>
        </w:rPr>
        <w:t>m</w:t>
      </w:r>
      <w:r w:rsidRPr="00FF188C">
        <w:rPr>
          <w:szCs w:val="24"/>
        </w:rPr>
        <w:t xml:space="preserve"> receivers impacted from a potential number of victim receivers </w:t>
      </w:r>
      <w:r w:rsidRPr="00FF188C">
        <w:rPr>
          <w:b/>
          <w:i/>
          <w:szCs w:val="24"/>
        </w:rPr>
        <w:t>N</w:t>
      </w:r>
      <w:r w:rsidRPr="00FF188C">
        <w:rPr>
          <w:szCs w:val="24"/>
        </w:rPr>
        <w:t xml:space="preserve">. </w:t>
      </w:r>
    </w:p>
    <w:p w14:paraId="419097AE" w14:textId="77777777" w:rsidR="00C1590E" w:rsidRPr="00FF188C" w:rsidRDefault="00C1590E" w:rsidP="00C1590E">
      <w:pPr>
        <w:rPr>
          <w:szCs w:val="24"/>
        </w:rPr>
      </w:pPr>
      <w:r w:rsidRPr="00FF188C">
        <w:rPr>
          <w:szCs w:val="24"/>
        </w:rPr>
        <w:t>The percentage of impacted receivers from the simulation step is then defined as (</w:t>
      </w:r>
      <w:r w:rsidRPr="00FF188C">
        <w:rPr>
          <w:b/>
          <w:i/>
          <w:szCs w:val="24"/>
        </w:rPr>
        <w:t>m</w:t>
      </w:r>
      <w:r w:rsidRPr="00FF188C">
        <w:rPr>
          <w:szCs w:val="24"/>
        </w:rPr>
        <w:t xml:space="preserve"> / </w:t>
      </w:r>
      <w:r w:rsidRPr="00FF188C">
        <w:rPr>
          <w:b/>
          <w:i/>
          <w:szCs w:val="24"/>
        </w:rPr>
        <w:t>N</w:t>
      </w:r>
      <w:r w:rsidRPr="00FF188C">
        <w:rPr>
          <w:szCs w:val="24"/>
        </w:rPr>
        <w:t xml:space="preserve">) * 100. </w:t>
      </w:r>
    </w:p>
    <w:p w14:paraId="6317C979" w14:textId="34D1E2CF" w:rsidR="00C1590E" w:rsidRPr="00FF188C" w:rsidRDefault="00C1590E" w:rsidP="00C1590E">
      <w:pPr>
        <w:rPr>
          <w:szCs w:val="24"/>
        </w:rPr>
      </w:pPr>
      <w:r w:rsidRPr="00FF188C">
        <w:rPr>
          <w:szCs w:val="24"/>
        </w:rPr>
        <w:t>The simulation is performed 1</w:t>
      </w:r>
      <w:r w:rsidR="00FF188C" w:rsidRPr="00FF188C">
        <w:rPr>
          <w:szCs w:val="24"/>
        </w:rPr>
        <w:t xml:space="preserve"> </w:t>
      </w:r>
      <w:r w:rsidRPr="00FF188C">
        <w:rPr>
          <w:szCs w:val="24"/>
        </w:rPr>
        <w:t>000 times and ends with 1</w:t>
      </w:r>
      <w:r w:rsidR="00FF188C" w:rsidRPr="00FF188C">
        <w:rPr>
          <w:szCs w:val="24"/>
        </w:rPr>
        <w:t xml:space="preserve"> </w:t>
      </w:r>
      <w:r w:rsidRPr="00FF188C">
        <w:rPr>
          <w:szCs w:val="24"/>
        </w:rPr>
        <w:t>000 distinct values for the percentage of impacted receivers. From these the mean percentage of impacted RNSS receivers can be calculated.</w:t>
      </w:r>
    </w:p>
    <w:p w14:paraId="229909F0" w14:textId="77777777" w:rsidR="00C1590E" w:rsidRPr="00FF188C" w:rsidRDefault="00C1590E" w:rsidP="00AE0FEA">
      <w:pPr>
        <w:pStyle w:val="Heading2"/>
      </w:pPr>
      <w:r w:rsidRPr="00FF188C">
        <w:t>2.5</w:t>
      </w:r>
      <w:r w:rsidRPr="00FF188C">
        <w:tab/>
        <w:t>Simulation Results</w:t>
      </w:r>
    </w:p>
    <w:p w14:paraId="641F1400" w14:textId="77777777" w:rsidR="00C1590E" w:rsidRPr="00FF188C" w:rsidRDefault="00C1590E" w:rsidP="00C1590E">
      <w:pPr>
        <w:rPr>
          <w:szCs w:val="24"/>
        </w:rPr>
      </w:pPr>
      <w:r w:rsidRPr="00FF188C">
        <w:rPr>
          <w:szCs w:val="24"/>
        </w:rPr>
        <w:t>Mean percentage of fixed RNSS receivers within the simulation area impacted by one static amateur station operating as defined above:</w:t>
      </w:r>
    </w:p>
    <w:p w14:paraId="3FA08F86" w14:textId="0B47A363" w:rsidR="00AE0FEA" w:rsidRPr="00FF188C" w:rsidRDefault="00AE0FEA" w:rsidP="00AE0FEA">
      <w:pPr>
        <w:pStyle w:val="TableNo"/>
      </w:pPr>
      <w:r w:rsidRPr="00FF188C">
        <w:lastRenderedPageBreak/>
        <w:t>Table 1</w:t>
      </w:r>
    </w:p>
    <w:p w14:paraId="04005880" w14:textId="1C4FE212" w:rsidR="00AE0FEA" w:rsidRPr="00FF188C" w:rsidRDefault="00AE0FEA" w:rsidP="00AE0FEA">
      <w:pPr>
        <w:pStyle w:val="Tabletitle"/>
      </w:pPr>
      <w:r w:rsidRPr="00FF188C">
        <w:t>Mean Percentage of impacted fixed RNSS receivers and Standard Deviation</w:t>
      </w:r>
    </w:p>
    <w:tbl>
      <w:tblPr>
        <w:tblStyle w:val="TableGrid"/>
        <w:tblW w:w="0" w:type="auto"/>
        <w:tblLook w:val="04A0" w:firstRow="1" w:lastRow="0" w:firstColumn="1" w:lastColumn="0" w:noHBand="0" w:noVBand="1"/>
      </w:tblPr>
      <w:tblGrid>
        <w:gridCol w:w="1526"/>
        <w:gridCol w:w="1337"/>
        <w:gridCol w:w="1103"/>
        <w:gridCol w:w="1247"/>
        <w:gridCol w:w="1303"/>
        <w:gridCol w:w="1280"/>
        <w:gridCol w:w="1220"/>
      </w:tblGrid>
      <w:tr w:rsidR="00C1590E" w:rsidRPr="00FF188C" w14:paraId="3F349AC2" w14:textId="77777777" w:rsidTr="002703FB">
        <w:tc>
          <w:tcPr>
            <w:tcW w:w="1526" w:type="dxa"/>
            <w:tcBorders>
              <w:top w:val="nil"/>
              <w:left w:val="nil"/>
              <w:bottom w:val="single" w:sz="4" w:space="0" w:color="auto"/>
              <w:right w:val="single" w:sz="4" w:space="0" w:color="auto"/>
            </w:tcBorders>
          </w:tcPr>
          <w:p w14:paraId="564BD852" w14:textId="77777777" w:rsidR="00C1590E" w:rsidRPr="00FF188C" w:rsidRDefault="00C1590E" w:rsidP="00AE0FEA">
            <w:pPr>
              <w:pStyle w:val="Tablehead"/>
              <w:rPr>
                <w:rStyle w:val="ECCParagraph"/>
                <w:rFonts w:ascii="Times New Roman" w:eastAsia="Calibri" w:hAnsi="Times New Roman"/>
                <w:sz w:val="24"/>
                <w:szCs w:val="24"/>
              </w:rPr>
            </w:pPr>
          </w:p>
        </w:tc>
        <w:tc>
          <w:tcPr>
            <w:tcW w:w="2440" w:type="dxa"/>
            <w:gridSpan w:val="2"/>
            <w:tcBorders>
              <w:left w:val="single" w:sz="4" w:space="0" w:color="auto"/>
            </w:tcBorders>
          </w:tcPr>
          <w:p w14:paraId="36B6AC43" w14:textId="77777777" w:rsidR="00C1590E" w:rsidRPr="00FF188C" w:rsidRDefault="00C1590E" w:rsidP="00AE0FEA">
            <w:pPr>
              <w:pStyle w:val="Tablehead"/>
            </w:pPr>
            <w:r w:rsidRPr="00FF188C">
              <w:t>Minimum amateur station density</w:t>
            </w:r>
          </w:p>
        </w:tc>
        <w:tc>
          <w:tcPr>
            <w:tcW w:w="2550" w:type="dxa"/>
            <w:gridSpan w:val="2"/>
          </w:tcPr>
          <w:p w14:paraId="18FB6474" w14:textId="77777777" w:rsidR="00C1590E" w:rsidRPr="00FF188C" w:rsidRDefault="00C1590E" w:rsidP="00AE0FEA">
            <w:pPr>
              <w:pStyle w:val="Tablehead"/>
            </w:pPr>
            <w:r w:rsidRPr="00FF188C">
              <w:t>Average amateur station density</w:t>
            </w:r>
          </w:p>
        </w:tc>
        <w:tc>
          <w:tcPr>
            <w:tcW w:w="2500" w:type="dxa"/>
            <w:gridSpan w:val="2"/>
          </w:tcPr>
          <w:p w14:paraId="7F496F02" w14:textId="77777777" w:rsidR="00C1590E" w:rsidRPr="00FF188C" w:rsidRDefault="00C1590E" w:rsidP="00AE0FEA">
            <w:pPr>
              <w:pStyle w:val="Tablehead"/>
            </w:pPr>
            <w:r w:rsidRPr="00FF188C">
              <w:t>Maximum amateur station density</w:t>
            </w:r>
          </w:p>
        </w:tc>
      </w:tr>
      <w:tr w:rsidR="00C1590E" w:rsidRPr="00FF188C" w14:paraId="05E792E7" w14:textId="77777777" w:rsidTr="002703FB">
        <w:tc>
          <w:tcPr>
            <w:tcW w:w="1526" w:type="dxa"/>
            <w:tcBorders>
              <w:top w:val="single" w:sz="4" w:space="0" w:color="auto"/>
            </w:tcBorders>
          </w:tcPr>
          <w:p w14:paraId="6021E834" w14:textId="77777777" w:rsidR="00C1590E" w:rsidRPr="00FF188C" w:rsidRDefault="00C1590E" w:rsidP="00AE0FEA">
            <w:pPr>
              <w:pStyle w:val="Tablehead"/>
            </w:pPr>
            <w:r w:rsidRPr="00FF188C">
              <w:rPr>
                <w:rStyle w:val="ECCParagraph"/>
                <w:rFonts w:ascii="Times New Roman" w:hAnsi="Times New Roman"/>
                <w:sz w:val="24"/>
                <w:szCs w:val="24"/>
              </w:rPr>
              <w:t>Area setting and population density</w:t>
            </w:r>
          </w:p>
        </w:tc>
        <w:tc>
          <w:tcPr>
            <w:tcW w:w="1337" w:type="dxa"/>
          </w:tcPr>
          <w:p w14:paraId="0FD60A08" w14:textId="77777777" w:rsidR="00C1590E" w:rsidRPr="00FF188C" w:rsidRDefault="00C1590E" w:rsidP="00AE0FEA">
            <w:pPr>
              <w:pStyle w:val="Tablehead"/>
            </w:pPr>
            <w:r w:rsidRPr="00FF188C">
              <w:t>% Impacted RNSS Rx</w:t>
            </w:r>
          </w:p>
        </w:tc>
        <w:tc>
          <w:tcPr>
            <w:tcW w:w="1103" w:type="dxa"/>
          </w:tcPr>
          <w:p w14:paraId="214B810B" w14:textId="77777777" w:rsidR="00C1590E" w:rsidRPr="00FF188C" w:rsidRDefault="00C1590E" w:rsidP="00AE0FEA">
            <w:pPr>
              <w:pStyle w:val="Tablehead"/>
            </w:pPr>
            <w:r w:rsidRPr="00FF188C">
              <w:t>Standard Deviation</w:t>
            </w:r>
          </w:p>
        </w:tc>
        <w:tc>
          <w:tcPr>
            <w:tcW w:w="1247" w:type="dxa"/>
          </w:tcPr>
          <w:p w14:paraId="68A235F2" w14:textId="77777777" w:rsidR="00C1590E" w:rsidRPr="00FF188C" w:rsidRDefault="00C1590E" w:rsidP="00AE0FEA">
            <w:pPr>
              <w:pStyle w:val="Tablehead"/>
            </w:pPr>
            <w:r w:rsidRPr="00FF188C">
              <w:t>% Impacted RNSS Rx</w:t>
            </w:r>
          </w:p>
        </w:tc>
        <w:tc>
          <w:tcPr>
            <w:tcW w:w="1303" w:type="dxa"/>
          </w:tcPr>
          <w:p w14:paraId="31FC7289" w14:textId="77777777" w:rsidR="00C1590E" w:rsidRPr="00FF188C" w:rsidRDefault="00C1590E" w:rsidP="00AE0FEA">
            <w:pPr>
              <w:pStyle w:val="Tablehead"/>
            </w:pPr>
            <w:r w:rsidRPr="00FF188C">
              <w:t>Standard Deviation</w:t>
            </w:r>
          </w:p>
        </w:tc>
        <w:tc>
          <w:tcPr>
            <w:tcW w:w="1280" w:type="dxa"/>
          </w:tcPr>
          <w:p w14:paraId="3CC2C1A5" w14:textId="77777777" w:rsidR="00C1590E" w:rsidRPr="00FF188C" w:rsidRDefault="00C1590E" w:rsidP="00AE0FEA">
            <w:pPr>
              <w:pStyle w:val="Tablehead"/>
            </w:pPr>
            <w:r w:rsidRPr="00FF188C">
              <w:t>% Impacted RNSS Rx</w:t>
            </w:r>
          </w:p>
        </w:tc>
        <w:tc>
          <w:tcPr>
            <w:tcW w:w="1220" w:type="dxa"/>
          </w:tcPr>
          <w:p w14:paraId="168BA28C" w14:textId="77777777" w:rsidR="00C1590E" w:rsidRPr="00FF188C" w:rsidRDefault="00C1590E" w:rsidP="00AE0FEA">
            <w:pPr>
              <w:pStyle w:val="Tablehead"/>
            </w:pPr>
            <w:r w:rsidRPr="00FF188C">
              <w:t>Standard Deviation</w:t>
            </w:r>
          </w:p>
        </w:tc>
      </w:tr>
      <w:tr w:rsidR="00C1590E" w:rsidRPr="00FF188C" w14:paraId="3AC0A401" w14:textId="77777777" w:rsidTr="002703FB">
        <w:tc>
          <w:tcPr>
            <w:tcW w:w="1526" w:type="dxa"/>
          </w:tcPr>
          <w:p w14:paraId="1FFB6AAE" w14:textId="77777777" w:rsidR="00C1590E" w:rsidRPr="00FF188C" w:rsidRDefault="00C1590E" w:rsidP="00AE0FEA">
            <w:pPr>
              <w:pStyle w:val="Tabletext"/>
            </w:pPr>
            <w:r w:rsidRPr="00FF188C">
              <w:t>Rural</w:t>
            </w:r>
          </w:p>
        </w:tc>
        <w:tc>
          <w:tcPr>
            <w:tcW w:w="1337" w:type="dxa"/>
          </w:tcPr>
          <w:p w14:paraId="0B3868FC" w14:textId="77777777" w:rsidR="00C1590E" w:rsidRPr="00FF188C" w:rsidRDefault="00C1590E" w:rsidP="00AE0FEA">
            <w:pPr>
              <w:pStyle w:val="Tabletext"/>
            </w:pPr>
            <w:r w:rsidRPr="00FF188C">
              <w:t>0.06%</w:t>
            </w:r>
          </w:p>
        </w:tc>
        <w:tc>
          <w:tcPr>
            <w:tcW w:w="1103" w:type="dxa"/>
          </w:tcPr>
          <w:p w14:paraId="0E2041E0" w14:textId="77777777" w:rsidR="00C1590E" w:rsidRPr="00FF188C" w:rsidRDefault="00C1590E" w:rsidP="00AE0FEA">
            <w:pPr>
              <w:pStyle w:val="Tabletext"/>
            </w:pPr>
            <w:r w:rsidRPr="00FF188C">
              <w:t>0.01%</w:t>
            </w:r>
          </w:p>
        </w:tc>
        <w:tc>
          <w:tcPr>
            <w:tcW w:w="1247" w:type="dxa"/>
          </w:tcPr>
          <w:p w14:paraId="068BD5F1" w14:textId="77777777" w:rsidR="00C1590E" w:rsidRPr="00FF188C" w:rsidRDefault="00C1590E" w:rsidP="00AE0FEA">
            <w:pPr>
              <w:pStyle w:val="Tabletext"/>
            </w:pPr>
            <w:r w:rsidRPr="00FF188C">
              <w:t>0.20%</w:t>
            </w:r>
          </w:p>
        </w:tc>
        <w:tc>
          <w:tcPr>
            <w:tcW w:w="1303" w:type="dxa"/>
          </w:tcPr>
          <w:p w14:paraId="3D9B2E6E" w14:textId="77777777" w:rsidR="00C1590E" w:rsidRPr="00FF188C" w:rsidRDefault="00C1590E" w:rsidP="00AE0FEA">
            <w:pPr>
              <w:pStyle w:val="Tabletext"/>
            </w:pPr>
            <w:r w:rsidRPr="00FF188C">
              <w:t>0.03%</w:t>
            </w:r>
          </w:p>
        </w:tc>
        <w:tc>
          <w:tcPr>
            <w:tcW w:w="1280" w:type="dxa"/>
          </w:tcPr>
          <w:p w14:paraId="05510E6D" w14:textId="77777777" w:rsidR="00C1590E" w:rsidRPr="00FF188C" w:rsidRDefault="00C1590E" w:rsidP="00AE0FEA">
            <w:pPr>
              <w:pStyle w:val="Tabletext"/>
            </w:pPr>
            <w:r w:rsidRPr="00FF188C">
              <w:t>1.62%</w:t>
            </w:r>
          </w:p>
        </w:tc>
        <w:tc>
          <w:tcPr>
            <w:tcW w:w="1220" w:type="dxa"/>
          </w:tcPr>
          <w:p w14:paraId="11A3249F" w14:textId="77777777" w:rsidR="00C1590E" w:rsidRPr="00FF188C" w:rsidRDefault="00C1590E" w:rsidP="00AE0FEA">
            <w:pPr>
              <w:pStyle w:val="Tabletext"/>
            </w:pPr>
            <w:r w:rsidRPr="00FF188C">
              <w:t>0.21%</w:t>
            </w:r>
          </w:p>
        </w:tc>
      </w:tr>
      <w:tr w:rsidR="00C1590E" w:rsidRPr="00FF188C" w14:paraId="61D1E422" w14:textId="77777777" w:rsidTr="002703FB">
        <w:tc>
          <w:tcPr>
            <w:tcW w:w="1526" w:type="dxa"/>
          </w:tcPr>
          <w:p w14:paraId="0B6095B4" w14:textId="77777777" w:rsidR="00C1590E" w:rsidRPr="00FF188C" w:rsidRDefault="00C1590E" w:rsidP="00AE0FEA">
            <w:pPr>
              <w:pStyle w:val="Tabletext"/>
            </w:pPr>
            <w:r w:rsidRPr="00FF188C">
              <w:t>Urban</w:t>
            </w:r>
          </w:p>
        </w:tc>
        <w:tc>
          <w:tcPr>
            <w:tcW w:w="1337" w:type="dxa"/>
          </w:tcPr>
          <w:p w14:paraId="135BDDFB" w14:textId="77777777" w:rsidR="00C1590E" w:rsidRPr="00FF188C" w:rsidRDefault="00C1590E" w:rsidP="00AE0FEA">
            <w:pPr>
              <w:pStyle w:val="Tabletext"/>
            </w:pPr>
            <w:r w:rsidRPr="00FF188C">
              <w:t>0.02%</w:t>
            </w:r>
          </w:p>
        </w:tc>
        <w:tc>
          <w:tcPr>
            <w:tcW w:w="1103" w:type="dxa"/>
          </w:tcPr>
          <w:p w14:paraId="465F9384" w14:textId="77777777" w:rsidR="00C1590E" w:rsidRPr="00FF188C" w:rsidRDefault="00C1590E" w:rsidP="00AE0FEA">
            <w:pPr>
              <w:pStyle w:val="Tabletext"/>
            </w:pPr>
            <w:r w:rsidRPr="00FF188C">
              <w:t>0.004%</w:t>
            </w:r>
          </w:p>
        </w:tc>
        <w:tc>
          <w:tcPr>
            <w:tcW w:w="1247" w:type="dxa"/>
          </w:tcPr>
          <w:p w14:paraId="5BAB04AB" w14:textId="77777777" w:rsidR="00C1590E" w:rsidRPr="00FF188C" w:rsidRDefault="00C1590E" w:rsidP="00AE0FEA">
            <w:pPr>
              <w:pStyle w:val="Tabletext"/>
            </w:pPr>
            <w:r w:rsidRPr="00FF188C">
              <w:t>0.08%</w:t>
            </w:r>
          </w:p>
        </w:tc>
        <w:tc>
          <w:tcPr>
            <w:tcW w:w="1303" w:type="dxa"/>
          </w:tcPr>
          <w:p w14:paraId="4ADF0C88" w14:textId="77777777" w:rsidR="00C1590E" w:rsidRPr="00FF188C" w:rsidRDefault="00C1590E" w:rsidP="00AE0FEA">
            <w:pPr>
              <w:pStyle w:val="Tabletext"/>
            </w:pPr>
            <w:r w:rsidRPr="00FF188C">
              <w:t>0.01%</w:t>
            </w:r>
          </w:p>
        </w:tc>
        <w:tc>
          <w:tcPr>
            <w:tcW w:w="1280" w:type="dxa"/>
          </w:tcPr>
          <w:p w14:paraId="69F09346" w14:textId="77777777" w:rsidR="00C1590E" w:rsidRPr="00FF188C" w:rsidRDefault="00C1590E" w:rsidP="00AE0FEA">
            <w:pPr>
              <w:pStyle w:val="Tabletext"/>
            </w:pPr>
            <w:r w:rsidRPr="00FF188C">
              <w:t>0.65%</w:t>
            </w:r>
          </w:p>
        </w:tc>
        <w:tc>
          <w:tcPr>
            <w:tcW w:w="1220" w:type="dxa"/>
          </w:tcPr>
          <w:p w14:paraId="4D4EC46A" w14:textId="77777777" w:rsidR="00C1590E" w:rsidRPr="00FF188C" w:rsidRDefault="00C1590E" w:rsidP="00AE0FEA">
            <w:pPr>
              <w:pStyle w:val="Tabletext"/>
            </w:pPr>
            <w:r w:rsidRPr="00FF188C">
              <w:t>0.09%</w:t>
            </w:r>
          </w:p>
        </w:tc>
      </w:tr>
      <w:tr w:rsidR="00C1590E" w:rsidRPr="00FF188C" w14:paraId="7295DAEB" w14:textId="77777777" w:rsidTr="002703FB">
        <w:tc>
          <w:tcPr>
            <w:tcW w:w="1526" w:type="dxa"/>
          </w:tcPr>
          <w:p w14:paraId="4C29CD15" w14:textId="77777777" w:rsidR="00C1590E" w:rsidRPr="00FF188C" w:rsidRDefault="00C1590E" w:rsidP="00AE0FEA">
            <w:pPr>
              <w:pStyle w:val="Tabletext"/>
            </w:pPr>
            <w:r w:rsidRPr="00FF188C">
              <w:t>Dense urban</w:t>
            </w:r>
          </w:p>
        </w:tc>
        <w:tc>
          <w:tcPr>
            <w:tcW w:w="1337" w:type="dxa"/>
          </w:tcPr>
          <w:p w14:paraId="7AAD8B92" w14:textId="77777777" w:rsidR="00C1590E" w:rsidRPr="00FF188C" w:rsidRDefault="00C1590E" w:rsidP="00AE0FEA">
            <w:pPr>
              <w:pStyle w:val="Tabletext"/>
            </w:pPr>
            <w:r w:rsidRPr="00FF188C">
              <w:t>0.02%</w:t>
            </w:r>
          </w:p>
        </w:tc>
        <w:tc>
          <w:tcPr>
            <w:tcW w:w="1103" w:type="dxa"/>
          </w:tcPr>
          <w:p w14:paraId="6ED06449" w14:textId="77777777" w:rsidR="00C1590E" w:rsidRPr="00FF188C" w:rsidRDefault="00C1590E" w:rsidP="00AE0FEA">
            <w:pPr>
              <w:pStyle w:val="Tabletext"/>
            </w:pPr>
            <w:r w:rsidRPr="00FF188C">
              <w:t>0.001%</w:t>
            </w:r>
          </w:p>
        </w:tc>
        <w:tc>
          <w:tcPr>
            <w:tcW w:w="1247" w:type="dxa"/>
          </w:tcPr>
          <w:p w14:paraId="4BA43549" w14:textId="77777777" w:rsidR="00C1590E" w:rsidRPr="00FF188C" w:rsidRDefault="00C1590E" w:rsidP="00AE0FEA">
            <w:pPr>
              <w:pStyle w:val="Tabletext"/>
            </w:pPr>
            <w:r w:rsidRPr="00FF188C">
              <w:t>0.06%</w:t>
            </w:r>
          </w:p>
        </w:tc>
        <w:tc>
          <w:tcPr>
            <w:tcW w:w="1303" w:type="dxa"/>
          </w:tcPr>
          <w:p w14:paraId="759D1998" w14:textId="77777777" w:rsidR="00C1590E" w:rsidRPr="00FF188C" w:rsidRDefault="00C1590E" w:rsidP="00AE0FEA">
            <w:pPr>
              <w:pStyle w:val="Tabletext"/>
            </w:pPr>
            <w:r w:rsidRPr="00FF188C">
              <w:t>0.001%</w:t>
            </w:r>
          </w:p>
        </w:tc>
        <w:tc>
          <w:tcPr>
            <w:tcW w:w="1280" w:type="dxa"/>
          </w:tcPr>
          <w:p w14:paraId="26EBC186" w14:textId="77777777" w:rsidR="00C1590E" w:rsidRPr="00FF188C" w:rsidRDefault="00C1590E" w:rsidP="00AE0FEA">
            <w:pPr>
              <w:pStyle w:val="Tabletext"/>
            </w:pPr>
            <w:r w:rsidRPr="00FF188C">
              <w:t>0.45%</w:t>
            </w:r>
          </w:p>
        </w:tc>
        <w:tc>
          <w:tcPr>
            <w:tcW w:w="1220" w:type="dxa"/>
          </w:tcPr>
          <w:p w14:paraId="3D6BFB56" w14:textId="77777777" w:rsidR="00C1590E" w:rsidRPr="00FF188C" w:rsidRDefault="00C1590E" w:rsidP="00AE0FEA">
            <w:pPr>
              <w:pStyle w:val="Tabletext"/>
            </w:pPr>
            <w:r w:rsidRPr="00FF188C">
              <w:t>0.02%</w:t>
            </w:r>
          </w:p>
        </w:tc>
      </w:tr>
    </w:tbl>
    <w:p w14:paraId="6484B179" w14:textId="77777777" w:rsidR="00C1590E" w:rsidRPr="00FF188C" w:rsidRDefault="00C1590E" w:rsidP="00AE0FEA">
      <w:pPr>
        <w:pStyle w:val="Tablefin"/>
      </w:pPr>
    </w:p>
    <w:p w14:paraId="51996186" w14:textId="77777777" w:rsidR="00C1590E" w:rsidRPr="00FF188C" w:rsidRDefault="00C1590E" w:rsidP="00AE0FEA">
      <w:pPr>
        <w:pStyle w:val="Heading2"/>
      </w:pPr>
      <w:r w:rsidRPr="00FF188C">
        <w:t>3.0</w:t>
      </w:r>
      <w:r w:rsidRPr="00FF188C">
        <w:tab/>
        <w:t>Fixed Amateur Home Station and Mobile RNSS Receivers Scenario</w:t>
      </w:r>
    </w:p>
    <w:p w14:paraId="043F211C" w14:textId="77777777" w:rsidR="00C1590E" w:rsidRPr="00FF188C" w:rsidRDefault="00C1590E" w:rsidP="00C1590E">
      <w:pPr>
        <w:rPr>
          <w:szCs w:val="24"/>
        </w:rPr>
      </w:pPr>
      <w:r w:rsidRPr="00FF188C">
        <w:rPr>
          <w:szCs w:val="24"/>
        </w:rPr>
        <w:t xml:space="preserve">In this section the impact on moving RNSS receivers located in cars is considered. Both the amateur service narrow band emission and amateur service broadband emission with the appropriate interference threshold value are considered.  </w:t>
      </w:r>
    </w:p>
    <w:p w14:paraId="04E5D0F8" w14:textId="77777777" w:rsidR="00C1590E" w:rsidRPr="00FF188C" w:rsidRDefault="00C1590E" w:rsidP="00AE0FEA">
      <w:pPr>
        <w:pStyle w:val="Heading2"/>
      </w:pPr>
      <w:r w:rsidRPr="00FF188C">
        <w:t xml:space="preserve">3.1 </w:t>
      </w:r>
      <w:r w:rsidRPr="00FF188C">
        <w:tab/>
        <w:t>Simulation Method</w:t>
      </w:r>
    </w:p>
    <w:p w14:paraId="7F8E6A7E" w14:textId="77777777" w:rsidR="00C1590E" w:rsidRPr="00FF188C" w:rsidRDefault="00C1590E" w:rsidP="00C1590E">
      <w:pPr>
        <w:rPr>
          <w:szCs w:val="24"/>
        </w:rPr>
      </w:pPr>
      <w:r w:rsidRPr="00FF188C">
        <w:rPr>
          <w:szCs w:val="24"/>
        </w:rPr>
        <w:t>The first simulation step selects random locations for each car according to the vehicle density and simulation area, assigning them a random speed (from 10 to 50 km/h in urban area) and a random direction. Each car then moves along the selected heading for 15 minutes (maximum assumed amateur transmission duration). Every 5 seconds (180 individual time steps in 15 minutes), the received level is computed and compared to the RNSS receiver maximum interference threshold.</w:t>
      </w:r>
    </w:p>
    <w:p w14:paraId="43666B88" w14:textId="40AD2792" w:rsidR="00AE0FEA" w:rsidRPr="00FF188C" w:rsidRDefault="00AE0FEA" w:rsidP="00AE0FEA">
      <w:pPr>
        <w:pStyle w:val="FigureNo"/>
      </w:pPr>
      <w:r w:rsidRPr="00FF188C">
        <w:t>Figure 2</w:t>
      </w:r>
    </w:p>
    <w:p w14:paraId="3B61891A" w14:textId="27D577EC" w:rsidR="00AE0FEA" w:rsidRPr="00FF188C" w:rsidRDefault="00AE0FEA" w:rsidP="00AE0FEA">
      <w:pPr>
        <w:pStyle w:val="Figuretitle"/>
      </w:pPr>
      <w:r w:rsidRPr="00FF188C">
        <w:t>Mobile RNSS receiver simulation scenario</w:t>
      </w:r>
    </w:p>
    <w:p w14:paraId="14346911" w14:textId="77777777" w:rsidR="00C1590E" w:rsidRPr="00FF188C" w:rsidRDefault="00C1590E" w:rsidP="00C1590E">
      <w:pPr>
        <w:rPr>
          <w:szCs w:val="24"/>
        </w:rPr>
      </w:pPr>
      <w:r w:rsidRPr="00FF188C">
        <w:rPr>
          <w:szCs w:val="24"/>
          <w:lang w:eastAsia="en-GB"/>
        </w:rPr>
        <w:drawing>
          <wp:inline distT="0" distB="0" distL="0" distR="0" wp14:anchorId="1306B388" wp14:editId="03222D45">
            <wp:extent cx="5731510" cy="3312201"/>
            <wp:effectExtent l="0" t="0" r="2540" b="2540"/>
            <wp:docPr id="948735099" name="Picture 9487350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312201"/>
                    </a:xfrm>
                    <a:prstGeom prst="rect">
                      <a:avLst/>
                    </a:prstGeom>
                    <a:noFill/>
                    <a:ln>
                      <a:noFill/>
                    </a:ln>
                  </pic:spPr>
                </pic:pic>
              </a:graphicData>
            </a:graphic>
          </wp:inline>
        </w:drawing>
      </w:r>
    </w:p>
    <w:p w14:paraId="02D63636" w14:textId="77777777" w:rsidR="00C1590E" w:rsidRPr="00FF188C" w:rsidRDefault="00C1590E" w:rsidP="00C1590E">
      <w:pPr>
        <w:rPr>
          <w:szCs w:val="24"/>
        </w:rPr>
      </w:pPr>
      <w:r w:rsidRPr="00FF188C">
        <w:rPr>
          <w:szCs w:val="24"/>
        </w:rPr>
        <w:lastRenderedPageBreak/>
        <w:t>At the end of each simulation step we compute:</w:t>
      </w:r>
    </w:p>
    <w:p w14:paraId="6EEA6C89" w14:textId="77777777" w:rsidR="00C1590E" w:rsidRPr="00FF188C" w:rsidRDefault="00C1590E" w:rsidP="00C1590E">
      <w:pPr>
        <w:rPr>
          <w:szCs w:val="24"/>
        </w:rPr>
      </w:pPr>
      <w:r w:rsidRPr="00FF188C">
        <w:rPr>
          <w:szCs w:val="24"/>
        </w:rPr>
        <w:t>The percentage of “impacted” RNSS receivers that have faced interference above the protection threshold.</w:t>
      </w:r>
    </w:p>
    <w:p w14:paraId="3252C972" w14:textId="77777777" w:rsidR="00C1590E" w:rsidRPr="00FF188C" w:rsidRDefault="00C1590E" w:rsidP="00C1590E">
      <w:pPr>
        <w:rPr>
          <w:szCs w:val="24"/>
        </w:rPr>
      </w:pPr>
      <w:r w:rsidRPr="00FF188C">
        <w:rPr>
          <w:szCs w:val="24"/>
        </w:rPr>
        <w:t>This process is repeated 100 times and the mean percentage and standard deviation are calculated and presented in the results.</w:t>
      </w:r>
    </w:p>
    <w:p w14:paraId="7CCFCA8F" w14:textId="77777777" w:rsidR="00C1590E" w:rsidRPr="00FF188C" w:rsidRDefault="00C1590E" w:rsidP="00AE0FEA">
      <w:pPr>
        <w:pStyle w:val="Heading2"/>
      </w:pPr>
      <w:r w:rsidRPr="00FF188C">
        <w:t>3.2</w:t>
      </w:r>
      <w:r w:rsidRPr="00FF188C">
        <w:tab/>
        <w:t xml:space="preserve">Narrow Band Amateur Home Station </w:t>
      </w:r>
    </w:p>
    <w:p w14:paraId="4A9ADC97" w14:textId="77777777" w:rsidR="00C1590E" w:rsidRPr="00FF188C" w:rsidRDefault="00C1590E" w:rsidP="00AE0FEA">
      <w:pPr>
        <w:pStyle w:val="Heading3"/>
      </w:pPr>
      <w:r w:rsidRPr="00FF188C">
        <w:t>3.2.1</w:t>
      </w:r>
      <w:r w:rsidRPr="00FF188C">
        <w:tab/>
        <w:t>Simulation parameters</w:t>
      </w:r>
    </w:p>
    <w:p w14:paraId="320D6473" w14:textId="77777777" w:rsidR="00C1590E" w:rsidRPr="00FF188C" w:rsidRDefault="00C1590E" w:rsidP="00C1590E">
      <w:pPr>
        <w:rPr>
          <w:szCs w:val="24"/>
        </w:rPr>
      </w:pPr>
      <w:r w:rsidRPr="00FF188C">
        <w:rPr>
          <w:szCs w:val="24"/>
        </w:rPr>
        <w:t>The same section 2.3 simulation parameters were used here with the addition of the following vehicular assumptions:</w:t>
      </w:r>
    </w:p>
    <w:p w14:paraId="46D35037" w14:textId="77777777" w:rsidR="00C1590E" w:rsidRPr="00FF188C" w:rsidRDefault="00C1590E" w:rsidP="00AE0FEA">
      <w:pPr>
        <w:pStyle w:val="enumlev1"/>
      </w:pPr>
      <w:r w:rsidRPr="00FF188C">
        <w:t>•</w:t>
      </w:r>
      <w:r w:rsidRPr="00FF188C">
        <w:tab/>
        <w:t>Car density: 330 vehicles/km</w:t>
      </w:r>
      <w:r w:rsidRPr="00FF188C">
        <w:rPr>
          <w:vertAlign w:val="superscript"/>
        </w:rPr>
        <w:t>2</w:t>
      </w:r>
      <w:r w:rsidRPr="00FF188C">
        <w:t xml:space="preserve"> (according to ECC Report 351 for the urban case)</w:t>
      </w:r>
    </w:p>
    <w:p w14:paraId="33B92FEA" w14:textId="77777777" w:rsidR="00C1590E" w:rsidRPr="00FF188C" w:rsidRDefault="00C1590E" w:rsidP="00AE0FEA">
      <w:pPr>
        <w:pStyle w:val="enumlev1"/>
      </w:pPr>
      <w:r w:rsidRPr="00FF188C">
        <w:t>•</w:t>
      </w:r>
      <w:r w:rsidRPr="00FF188C">
        <w:tab/>
        <w:t>Percentage of cars having an active RNSS receiver during the simulation: 50%</w:t>
      </w:r>
    </w:p>
    <w:p w14:paraId="626FE6FE" w14:textId="77777777" w:rsidR="00C1590E" w:rsidRPr="00FF188C" w:rsidRDefault="00C1590E" w:rsidP="00AE0FEA">
      <w:pPr>
        <w:pStyle w:val="enumlev1"/>
      </w:pPr>
      <w:r w:rsidRPr="00FF188C">
        <w:t>•</w:t>
      </w:r>
      <w:r w:rsidRPr="00FF188C">
        <w:tab/>
        <w:t>Speed distribution: uniform, from 5 to 50 km/h,</w:t>
      </w:r>
    </w:p>
    <w:p w14:paraId="79FD86F2" w14:textId="77777777" w:rsidR="00C1590E" w:rsidRPr="00FF188C" w:rsidRDefault="00C1590E" w:rsidP="00AE0FEA">
      <w:pPr>
        <w:pStyle w:val="enumlev1"/>
      </w:pPr>
      <w:r w:rsidRPr="00FF188C">
        <w:t>•</w:t>
      </w:r>
      <w:r w:rsidRPr="00FF188C">
        <w:tab/>
        <w:t>Simulated drive path duration for each simulation step: 15 minutes,</w:t>
      </w:r>
    </w:p>
    <w:p w14:paraId="0E2EE89B" w14:textId="77777777" w:rsidR="00C1590E" w:rsidRPr="00FF188C" w:rsidRDefault="00C1590E" w:rsidP="00AE0FEA">
      <w:pPr>
        <w:pStyle w:val="enumlev1"/>
      </w:pPr>
      <w:r w:rsidRPr="00FF188C">
        <w:t>•</w:t>
      </w:r>
      <w:r w:rsidRPr="00FF188C">
        <w:tab/>
        <w:t>Time step for the drive path: 5 seconds, leading to 180 steps for 15 minutes.</w:t>
      </w:r>
    </w:p>
    <w:p w14:paraId="26E44451" w14:textId="77777777" w:rsidR="00C1590E" w:rsidRPr="00FF188C" w:rsidRDefault="00C1590E" w:rsidP="00C1590E">
      <w:pPr>
        <w:rPr>
          <w:szCs w:val="24"/>
        </w:rPr>
      </w:pPr>
      <w:r w:rsidRPr="00FF188C">
        <w:rPr>
          <w:b/>
          <w:szCs w:val="24"/>
        </w:rPr>
        <w:t>Note:</w:t>
      </w:r>
      <w:r w:rsidRPr="00FF188C">
        <w:rPr>
          <w:szCs w:val="24"/>
        </w:rPr>
        <w:t xml:space="preserve"> In this simulation, if a RNSS receiver moves outside of the simulation area, it turns around back into the area. Thus the number of RNSS receivers inside the simulation remains constant.</w:t>
      </w:r>
    </w:p>
    <w:p w14:paraId="71073353" w14:textId="77777777" w:rsidR="00C1590E" w:rsidRPr="00FF188C" w:rsidRDefault="00C1590E" w:rsidP="00AE0FEA">
      <w:pPr>
        <w:pStyle w:val="Heading3"/>
      </w:pPr>
      <w:r w:rsidRPr="00FF188C">
        <w:t>3.2.2</w:t>
      </w:r>
      <w:r w:rsidRPr="00FF188C">
        <w:tab/>
        <w:t>Simulation Results</w:t>
      </w:r>
    </w:p>
    <w:p w14:paraId="556BB9A2" w14:textId="437171B1" w:rsidR="00C1590E" w:rsidRPr="00FF188C" w:rsidRDefault="00C1590E" w:rsidP="00C1590E">
      <w:pPr>
        <w:rPr>
          <w:szCs w:val="24"/>
        </w:rPr>
      </w:pPr>
      <w:r w:rsidRPr="00FF188C">
        <w:rPr>
          <w:szCs w:val="24"/>
        </w:rPr>
        <w:t>Mean percentage of mobile RNSS receivers impacted by one fixed narrowband amateur home station:</w:t>
      </w:r>
    </w:p>
    <w:p w14:paraId="33DC8B7F" w14:textId="6E182978" w:rsidR="00AE0FEA" w:rsidRPr="00FF188C" w:rsidRDefault="00AE0FEA" w:rsidP="00AE0FEA">
      <w:pPr>
        <w:pStyle w:val="TableNo"/>
      </w:pPr>
      <w:r w:rsidRPr="00FF188C">
        <w:t>Table 2</w:t>
      </w:r>
    </w:p>
    <w:p w14:paraId="3EC4AAF7" w14:textId="2FFBC90C" w:rsidR="00AE0FEA" w:rsidRPr="00FF188C" w:rsidRDefault="00AE0FEA" w:rsidP="00AE0FEA">
      <w:pPr>
        <w:pStyle w:val="Tabletitle"/>
      </w:pPr>
      <w:r w:rsidRPr="00FF188C">
        <w:t xml:space="preserve">Narrow Band Amateur Home Station: Mean Percentage of impacted mobile RNSS </w:t>
      </w:r>
      <w:r w:rsidRPr="00FF188C">
        <w:br/>
      </w:r>
      <w:r w:rsidRPr="00FF188C">
        <w:t>receivers and Standard Deviation</w:t>
      </w:r>
    </w:p>
    <w:p w14:paraId="72237A06" w14:textId="77777777" w:rsidR="00AE0FEA" w:rsidRPr="00FF188C" w:rsidRDefault="00AE0FEA" w:rsidP="00C1590E">
      <w:pPr>
        <w:rPr>
          <w:szCs w:val="24"/>
        </w:rPr>
      </w:pPr>
    </w:p>
    <w:tbl>
      <w:tblPr>
        <w:tblStyle w:val="TableGrid"/>
        <w:tblW w:w="0" w:type="auto"/>
        <w:tblLook w:val="04A0" w:firstRow="1" w:lastRow="0" w:firstColumn="1" w:lastColumn="0" w:noHBand="0" w:noVBand="1"/>
      </w:tblPr>
      <w:tblGrid>
        <w:gridCol w:w="1488"/>
        <w:gridCol w:w="1484"/>
        <w:gridCol w:w="1039"/>
        <w:gridCol w:w="1418"/>
        <w:gridCol w:w="1134"/>
        <w:gridCol w:w="1422"/>
        <w:gridCol w:w="1276"/>
      </w:tblGrid>
      <w:tr w:rsidR="00C1590E" w:rsidRPr="00FF188C" w14:paraId="1C71574D" w14:textId="77777777" w:rsidTr="002703FB">
        <w:tc>
          <w:tcPr>
            <w:tcW w:w="1488" w:type="dxa"/>
            <w:tcBorders>
              <w:top w:val="nil"/>
              <w:left w:val="nil"/>
              <w:bottom w:val="single" w:sz="4" w:space="0" w:color="auto"/>
              <w:right w:val="single" w:sz="4" w:space="0" w:color="auto"/>
            </w:tcBorders>
            <w:shd w:val="clear" w:color="auto" w:fill="auto"/>
          </w:tcPr>
          <w:p w14:paraId="20BD6281" w14:textId="77777777" w:rsidR="00C1590E" w:rsidRPr="00FF188C" w:rsidRDefault="00C1590E" w:rsidP="00AE0FEA">
            <w:pPr>
              <w:pStyle w:val="Tablehead"/>
            </w:pPr>
          </w:p>
        </w:tc>
        <w:tc>
          <w:tcPr>
            <w:tcW w:w="2476" w:type="dxa"/>
            <w:gridSpan w:val="2"/>
            <w:tcBorders>
              <w:left w:val="single" w:sz="4" w:space="0" w:color="auto"/>
            </w:tcBorders>
          </w:tcPr>
          <w:p w14:paraId="1C78C2DC" w14:textId="77777777" w:rsidR="00C1590E" w:rsidRPr="00FF188C" w:rsidRDefault="00C1590E" w:rsidP="00AE0FEA">
            <w:pPr>
              <w:pStyle w:val="Tablehead"/>
            </w:pPr>
            <w:r w:rsidRPr="00FF188C">
              <w:t>Minimum amateur station density</w:t>
            </w:r>
          </w:p>
        </w:tc>
        <w:tc>
          <w:tcPr>
            <w:tcW w:w="2552" w:type="dxa"/>
            <w:gridSpan w:val="2"/>
          </w:tcPr>
          <w:p w14:paraId="5FD83D26" w14:textId="77777777" w:rsidR="00C1590E" w:rsidRPr="00FF188C" w:rsidRDefault="00C1590E" w:rsidP="00AE0FEA">
            <w:pPr>
              <w:pStyle w:val="Tablehead"/>
            </w:pPr>
            <w:r w:rsidRPr="00FF188C">
              <w:t>Average amateur station density</w:t>
            </w:r>
          </w:p>
        </w:tc>
        <w:tc>
          <w:tcPr>
            <w:tcW w:w="2698" w:type="dxa"/>
            <w:gridSpan w:val="2"/>
          </w:tcPr>
          <w:p w14:paraId="05AEC2BC" w14:textId="77777777" w:rsidR="00C1590E" w:rsidRPr="00FF188C" w:rsidRDefault="00C1590E" w:rsidP="00AE0FEA">
            <w:pPr>
              <w:pStyle w:val="Tablehead"/>
            </w:pPr>
            <w:r w:rsidRPr="00FF188C">
              <w:t>Maximum amateur station density</w:t>
            </w:r>
          </w:p>
        </w:tc>
      </w:tr>
      <w:tr w:rsidR="00C1590E" w:rsidRPr="00FF188C" w14:paraId="079081FE" w14:textId="77777777" w:rsidTr="002703FB">
        <w:tc>
          <w:tcPr>
            <w:tcW w:w="1488" w:type="dxa"/>
            <w:tcBorders>
              <w:top w:val="single" w:sz="4" w:space="0" w:color="auto"/>
            </w:tcBorders>
          </w:tcPr>
          <w:p w14:paraId="432EF6DF" w14:textId="77777777" w:rsidR="00C1590E" w:rsidRPr="00FF188C" w:rsidRDefault="00C1590E" w:rsidP="00AE0FEA">
            <w:pPr>
              <w:pStyle w:val="Tablehead"/>
            </w:pPr>
            <w:r w:rsidRPr="00FF188C">
              <w:t>Area Setting Parameter</w:t>
            </w:r>
          </w:p>
        </w:tc>
        <w:tc>
          <w:tcPr>
            <w:tcW w:w="1484" w:type="dxa"/>
          </w:tcPr>
          <w:p w14:paraId="7BC190F1" w14:textId="77777777" w:rsidR="00C1590E" w:rsidRPr="00FF188C" w:rsidRDefault="00C1590E" w:rsidP="00AE0FEA">
            <w:pPr>
              <w:pStyle w:val="Tablehead"/>
            </w:pPr>
            <w:r w:rsidRPr="00FF188C">
              <w:t>% Impacted RNSS Rx</w:t>
            </w:r>
          </w:p>
        </w:tc>
        <w:tc>
          <w:tcPr>
            <w:tcW w:w="992" w:type="dxa"/>
          </w:tcPr>
          <w:p w14:paraId="4BE255C7" w14:textId="77777777" w:rsidR="00C1590E" w:rsidRPr="00FF188C" w:rsidRDefault="00C1590E" w:rsidP="00AE0FEA">
            <w:pPr>
              <w:pStyle w:val="Tablehead"/>
            </w:pPr>
            <w:r w:rsidRPr="00FF188C">
              <w:t>Standard Deviation</w:t>
            </w:r>
          </w:p>
        </w:tc>
        <w:tc>
          <w:tcPr>
            <w:tcW w:w="1418" w:type="dxa"/>
          </w:tcPr>
          <w:p w14:paraId="4501803F" w14:textId="77777777" w:rsidR="00C1590E" w:rsidRPr="00FF188C" w:rsidRDefault="00C1590E" w:rsidP="00AE0FEA">
            <w:pPr>
              <w:pStyle w:val="Tablehead"/>
            </w:pPr>
            <w:r w:rsidRPr="00FF188C">
              <w:t>% Impacted RNSS Rx</w:t>
            </w:r>
          </w:p>
        </w:tc>
        <w:tc>
          <w:tcPr>
            <w:tcW w:w="1134" w:type="dxa"/>
          </w:tcPr>
          <w:p w14:paraId="65A1B944" w14:textId="77777777" w:rsidR="00C1590E" w:rsidRPr="00FF188C" w:rsidRDefault="00C1590E" w:rsidP="00AE0FEA">
            <w:pPr>
              <w:pStyle w:val="Tablehead"/>
            </w:pPr>
            <w:r w:rsidRPr="00FF188C">
              <w:t>Standard Deviation</w:t>
            </w:r>
          </w:p>
        </w:tc>
        <w:tc>
          <w:tcPr>
            <w:tcW w:w="1422" w:type="dxa"/>
          </w:tcPr>
          <w:p w14:paraId="084D5161" w14:textId="77777777" w:rsidR="00C1590E" w:rsidRPr="00FF188C" w:rsidRDefault="00C1590E" w:rsidP="00AE0FEA">
            <w:pPr>
              <w:pStyle w:val="Tablehead"/>
            </w:pPr>
            <w:r w:rsidRPr="00FF188C">
              <w:t>% Impacted RNSS Rx</w:t>
            </w:r>
          </w:p>
        </w:tc>
        <w:tc>
          <w:tcPr>
            <w:tcW w:w="1276" w:type="dxa"/>
          </w:tcPr>
          <w:p w14:paraId="1937AA64" w14:textId="77777777" w:rsidR="00C1590E" w:rsidRPr="00FF188C" w:rsidRDefault="00C1590E" w:rsidP="00AE0FEA">
            <w:pPr>
              <w:pStyle w:val="Tablehead"/>
            </w:pPr>
            <w:r w:rsidRPr="00FF188C">
              <w:t>Standard Deviation</w:t>
            </w:r>
          </w:p>
        </w:tc>
      </w:tr>
      <w:tr w:rsidR="00C1590E" w:rsidRPr="00FF188C" w14:paraId="7D74DF16" w14:textId="77777777" w:rsidTr="002703FB">
        <w:tc>
          <w:tcPr>
            <w:tcW w:w="1488" w:type="dxa"/>
          </w:tcPr>
          <w:p w14:paraId="4DD7A193" w14:textId="77777777" w:rsidR="00C1590E" w:rsidRPr="00FF188C" w:rsidRDefault="00C1590E" w:rsidP="00AE0FEA">
            <w:pPr>
              <w:pStyle w:val="Tabletext"/>
            </w:pPr>
            <w:r w:rsidRPr="00FF188C">
              <w:t>Rural</w:t>
            </w:r>
          </w:p>
        </w:tc>
        <w:tc>
          <w:tcPr>
            <w:tcW w:w="1484" w:type="dxa"/>
          </w:tcPr>
          <w:p w14:paraId="645E55FF" w14:textId="77777777" w:rsidR="00C1590E" w:rsidRPr="00FF188C" w:rsidRDefault="00C1590E" w:rsidP="00AE0FEA">
            <w:pPr>
              <w:pStyle w:val="Tabletext"/>
            </w:pPr>
            <w:r w:rsidRPr="00FF188C">
              <w:t>0.15%</w:t>
            </w:r>
          </w:p>
        </w:tc>
        <w:tc>
          <w:tcPr>
            <w:tcW w:w="992" w:type="dxa"/>
          </w:tcPr>
          <w:p w14:paraId="1216106D" w14:textId="77777777" w:rsidR="00C1590E" w:rsidRPr="00FF188C" w:rsidRDefault="00C1590E" w:rsidP="00AE0FEA">
            <w:pPr>
              <w:pStyle w:val="Tabletext"/>
            </w:pPr>
            <w:r w:rsidRPr="00FF188C">
              <w:t>0.002%</w:t>
            </w:r>
          </w:p>
        </w:tc>
        <w:tc>
          <w:tcPr>
            <w:tcW w:w="1418" w:type="dxa"/>
          </w:tcPr>
          <w:p w14:paraId="7380D194" w14:textId="77777777" w:rsidR="00C1590E" w:rsidRPr="00FF188C" w:rsidRDefault="00C1590E" w:rsidP="00AE0FEA">
            <w:pPr>
              <w:pStyle w:val="Tabletext"/>
            </w:pPr>
            <w:r w:rsidRPr="00FF188C">
              <w:t>0.50%</w:t>
            </w:r>
          </w:p>
        </w:tc>
        <w:tc>
          <w:tcPr>
            <w:tcW w:w="1134" w:type="dxa"/>
          </w:tcPr>
          <w:p w14:paraId="2FF50C82" w14:textId="77777777" w:rsidR="00C1590E" w:rsidRPr="00FF188C" w:rsidRDefault="00C1590E" w:rsidP="00AE0FEA">
            <w:pPr>
              <w:pStyle w:val="Tabletext"/>
            </w:pPr>
            <w:r w:rsidRPr="00FF188C">
              <w:t>0.008%</w:t>
            </w:r>
          </w:p>
        </w:tc>
        <w:tc>
          <w:tcPr>
            <w:tcW w:w="1422" w:type="dxa"/>
          </w:tcPr>
          <w:p w14:paraId="66EDA6E0" w14:textId="77777777" w:rsidR="00C1590E" w:rsidRPr="00FF188C" w:rsidRDefault="00C1590E" w:rsidP="00AE0FEA">
            <w:pPr>
              <w:pStyle w:val="Tabletext"/>
            </w:pPr>
            <w:r w:rsidRPr="00FF188C">
              <w:t>3.94%</w:t>
            </w:r>
          </w:p>
        </w:tc>
        <w:tc>
          <w:tcPr>
            <w:tcW w:w="1276" w:type="dxa"/>
          </w:tcPr>
          <w:p w14:paraId="4627BC70" w14:textId="77777777" w:rsidR="00C1590E" w:rsidRPr="00FF188C" w:rsidRDefault="00C1590E" w:rsidP="00AE0FEA">
            <w:pPr>
              <w:pStyle w:val="Tabletext"/>
            </w:pPr>
            <w:r w:rsidRPr="00FF188C">
              <w:t>0.058%</w:t>
            </w:r>
          </w:p>
        </w:tc>
      </w:tr>
      <w:tr w:rsidR="00C1590E" w:rsidRPr="00FF188C" w14:paraId="2904C4FA" w14:textId="77777777" w:rsidTr="002703FB">
        <w:tc>
          <w:tcPr>
            <w:tcW w:w="1488" w:type="dxa"/>
          </w:tcPr>
          <w:p w14:paraId="079F5D5C" w14:textId="77777777" w:rsidR="00C1590E" w:rsidRPr="00FF188C" w:rsidRDefault="00C1590E" w:rsidP="00AE0FEA">
            <w:pPr>
              <w:pStyle w:val="Tabletext"/>
            </w:pPr>
            <w:r w:rsidRPr="00FF188C">
              <w:t>Urban</w:t>
            </w:r>
          </w:p>
        </w:tc>
        <w:tc>
          <w:tcPr>
            <w:tcW w:w="1484" w:type="dxa"/>
          </w:tcPr>
          <w:p w14:paraId="07CD4A66" w14:textId="77777777" w:rsidR="00C1590E" w:rsidRPr="00FF188C" w:rsidRDefault="00C1590E" w:rsidP="00AE0FEA">
            <w:pPr>
              <w:pStyle w:val="Tabletext"/>
            </w:pPr>
            <w:r w:rsidRPr="00FF188C">
              <w:t>0.079%</w:t>
            </w:r>
          </w:p>
        </w:tc>
        <w:tc>
          <w:tcPr>
            <w:tcW w:w="992" w:type="dxa"/>
          </w:tcPr>
          <w:p w14:paraId="69ABD277" w14:textId="77777777" w:rsidR="00C1590E" w:rsidRPr="00FF188C" w:rsidRDefault="00C1590E" w:rsidP="00AE0FEA">
            <w:pPr>
              <w:pStyle w:val="Tabletext"/>
            </w:pPr>
            <w:r w:rsidRPr="00FF188C">
              <w:t>0.001%</w:t>
            </w:r>
          </w:p>
        </w:tc>
        <w:tc>
          <w:tcPr>
            <w:tcW w:w="1418" w:type="dxa"/>
          </w:tcPr>
          <w:p w14:paraId="7FB60DE5" w14:textId="77777777" w:rsidR="00C1590E" w:rsidRPr="00FF188C" w:rsidRDefault="00C1590E" w:rsidP="00AE0FEA">
            <w:pPr>
              <w:pStyle w:val="Tabletext"/>
            </w:pPr>
            <w:r w:rsidRPr="00FF188C">
              <w:t>0.27%</w:t>
            </w:r>
          </w:p>
        </w:tc>
        <w:tc>
          <w:tcPr>
            <w:tcW w:w="1134" w:type="dxa"/>
          </w:tcPr>
          <w:p w14:paraId="06401543" w14:textId="77777777" w:rsidR="00C1590E" w:rsidRPr="00FF188C" w:rsidRDefault="00C1590E" w:rsidP="00AE0FEA">
            <w:pPr>
              <w:pStyle w:val="Tabletext"/>
            </w:pPr>
            <w:r w:rsidRPr="00FF188C">
              <w:t>0.006%</w:t>
            </w:r>
          </w:p>
        </w:tc>
        <w:tc>
          <w:tcPr>
            <w:tcW w:w="1422" w:type="dxa"/>
          </w:tcPr>
          <w:p w14:paraId="637C639C" w14:textId="77777777" w:rsidR="00C1590E" w:rsidRPr="00FF188C" w:rsidRDefault="00C1590E" w:rsidP="00AE0FEA">
            <w:pPr>
              <w:pStyle w:val="Tabletext"/>
            </w:pPr>
            <w:r w:rsidRPr="00FF188C">
              <w:t>2.10%</w:t>
            </w:r>
          </w:p>
        </w:tc>
        <w:tc>
          <w:tcPr>
            <w:tcW w:w="1276" w:type="dxa"/>
          </w:tcPr>
          <w:p w14:paraId="36064152" w14:textId="77777777" w:rsidR="00C1590E" w:rsidRPr="00FF188C" w:rsidRDefault="00C1590E" w:rsidP="00AE0FEA">
            <w:pPr>
              <w:pStyle w:val="Tabletext"/>
            </w:pPr>
            <w:r w:rsidRPr="00FF188C">
              <w:t>0.046%</w:t>
            </w:r>
          </w:p>
        </w:tc>
      </w:tr>
      <w:tr w:rsidR="00C1590E" w:rsidRPr="00FF188C" w14:paraId="3894D1F4" w14:textId="77777777" w:rsidTr="002703FB">
        <w:tc>
          <w:tcPr>
            <w:tcW w:w="1488" w:type="dxa"/>
          </w:tcPr>
          <w:p w14:paraId="37056AA9" w14:textId="77777777" w:rsidR="00C1590E" w:rsidRPr="00FF188C" w:rsidRDefault="00C1590E" w:rsidP="00AE0FEA">
            <w:pPr>
              <w:pStyle w:val="Tabletext"/>
            </w:pPr>
            <w:r w:rsidRPr="00FF188C">
              <w:t>Dense urban</w:t>
            </w:r>
          </w:p>
        </w:tc>
        <w:tc>
          <w:tcPr>
            <w:tcW w:w="1484" w:type="dxa"/>
          </w:tcPr>
          <w:p w14:paraId="65D9A5F1" w14:textId="77777777" w:rsidR="00C1590E" w:rsidRPr="00FF188C" w:rsidRDefault="00C1590E" w:rsidP="00AE0FEA">
            <w:pPr>
              <w:pStyle w:val="Tabletext"/>
            </w:pPr>
            <w:r w:rsidRPr="00FF188C">
              <w:t>0.06%</w:t>
            </w:r>
          </w:p>
        </w:tc>
        <w:tc>
          <w:tcPr>
            <w:tcW w:w="992" w:type="dxa"/>
          </w:tcPr>
          <w:p w14:paraId="69BFF281" w14:textId="77777777" w:rsidR="00C1590E" w:rsidRPr="00FF188C" w:rsidRDefault="00C1590E" w:rsidP="00AE0FEA">
            <w:pPr>
              <w:pStyle w:val="Tabletext"/>
            </w:pPr>
            <w:r w:rsidRPr="00FF188C">
              <w:t>0.0015%</w:t>
            </w:r>
          </w:p>
        </w:tc>
        <w:tc>
          <w:tcPr>
            <w:tcW w:w="1418" w:type="dxa"/>
          </w:tcPr>
          <w:p w14:paraId="03C7248C" w14:textId="77777777" w:rsidR="00C1590E" w:rsidRPr="00FF188C" w:rsidRDefault="00C1590E" w:rsidP="00AE0FEA">
            <w:pPr>
              <w:pStyle w:val="Tabletext"/>
            </w:pPr>
            <w:r w:rsidRPr="00FF188C">
              <w:t>0.21%</w:t>
            </w:r>
          </w:p>
        </w:tc>
        <w:tc>
          <w:tcPr>
            <w:tcW w:w="1134" w:type="dxa"/>
          </w:tcPr>
          <w:p w14:paraId="09D1AEA2" w14:textId="77777777" w:rsidR="00C1590E" w:rsidRPr="00FF188C" w:rsidRDefault="00C1590E" w:rsidP="00AE0FEA">
            <w:pPr>
              <w:pStyle w:val="Tabletext"/>
            </w:pPr>
            <w:r w:rsidRPr="00FF188C">
              <w:t>0.0047%</w:t>
            </w:r>
          </w:p>
        </w:tc>
        <w:tc>
          <w:tcPr>
            <w:tcW w:w="1422" w:type="dxa"/>
          </w:tcPr>
          <w:p w14:paraId="4C2530ED" w14:textId="77777777" w:rsidR="00C1590E" w:rsidRPr="00FF188C" w:rsidRDefault="00C1590E" w:rsidP="00AE0FEA">
            <w:pPr>
              <w:pStyle w:val="Tabletext"/>
            </w:pPr>
            <w:r w:rsidRPr="00FF188C">
              <w:t>1.67%</w:t>
            </w:r>
          </w:p>
        </w:tc>
        <w:tc>
          <w:tcPr>
            <w:tcW w:w="1276" w:type="dxa"/>
          </w:tcPr>
          <w:p w14:paraId="49D2D727" w14:textId="77777777" w:rsidR="00C1590E" w:rsidRPr="00FF188C" w:rsidRDefault="00C1590E" w:rsidP="00AE0FEA">
            <w:pPr>
              <w:pStyle w:val="Tabletext"/>
            </w:pPr>
            <w:r w:rsidRPr="00FF188C">
              <w:t>0.038%</w:t>
            </w:r>
          </w:p>
        </w:tc>
      </w:tr>
    </w:tbl>
    <w:p w14:paraId="0AA94A3B" w14:textId="77777777" w:rsidR="00C1590E" w:rsidRPr="00FF188C" w:rsidRDefault="00C1590E" w:rsidP="00C1590E">
      <w:pPr>
        <w:rPr>
          <w:szCs w:val="24"/>
        </w:rPr>
      </w:pPr>
    </w:p>
    <w:p w14:paraId="1B917A06" w14:textId="77777777" w:rsidR="00C1590E" w:rsidRPr="00FF188C" w:rsidRDefault="00C1590E" w:rsidP="00AE0FEA">
      <w:pPr>
        <w:pStyle w:val="Heading2"/>
      </w:pPr>
      <w:r w:rsidRPr="00FF188C">
        <w:t xml:space="preserve">3.3 </w:t>
      </w:r>
      <w:r w:rsidRPr="00FF188C">
        <w:tab/>
        <w:t>Broadband Amateur Home Station</w:t>
      </w:r>
    </w:p>
    <w:p w14:paraId="370301AF" w14:textId="77777777" w:rsidR="00C1590E" w:rsidRPr="00FF188C" w:rsidRDefault="00C1590E" w:rsidP="00AE0FEA">
      <w:pPr>
        <w:pStyle w:val="Heading3"/>
      </w:pPr>
      <w:r w:rsidRPr="00FF188C">
        <w:t xml:space="preserve">3.3.1 </w:t>
      </w:r>
      <w:r w:rsidRPr="00FF188C">
        <w:tab/>
        <w:t>Simulation Parameters</w:t>
      </w:r>
    </w:p>
    <w:p w14:paraId="096477AF" w14:textId="77777777" w:rsidR="00C1590E" w:rsidRPr="00FF188C" w:rsidRDefault="00C1590E" w:rsidP="00C1590E">
      <w:pPr>
        <w:rPr>
          <w:szCs w:val="24"/>
        </w:rPr>
      </w:pPr>
      <w:r w:rsidRPr="00FF188C">
        <w:rPr>
          <w:szCs w:val="24"/>
        </w:rPr>
        <w:t xml:space="preserve">The same simulation parameters and vehicular assumptions were used as detailed in section 3.2.1 but in this case using the RNSS receiver broadband interference threshold: </w:t>
      </w:r>
    </w:p>
    <w:p w14:paraId="6E5037A2" w14:textId="77777777" w:rsidR="00C1590E" w:rsidRPr="00FF188C" w:rsidRDefault="00C1590E" w:rsidP="00C1590E">
      <w:pPr>
        <w:rPr>
          <w:szCs w:val="24"/>
        </w:rPr>
      </w:pPr>
      <w:r w:rsidRPr="00FF188C">
        <w:rPr>
          <w:szCs w:val="24"/>
        </w:rPr>
        <w:t>For the amateur service broadband emission:</w:t>
      </w:r>
    </w:p>
    <w:p w14:paraId="1673317F" w14:textId="77777777" w:rsidR="00C1590E" w:rsidRPr="00FF188C" w:rsidRDefault="00C1590E" w:rsidP="00AE0FEA">
      <w:pPr>
        <w:pStyle w:val="enumlev1"/>
      </w:pPr>
      <w:r w:rsidRPr="00FF188C">
        <w:t>•</w:t>
      </w:r>
      <w:r w:rsidRPr="00FF188C">
        <w:tab/>
        <w:t>Broadband emission bandwidth: 2 MHz (DATV signal)</w:t>
      </w:r>
    </w:p>
    <w:p w14:paraId="5C3EA17D" w14:textId="6F83CB2E" w:rsidR="00C1590E" w:rsidRPr="00FF188C" w:rsidRDefault="00C1590E" w:rsidP="00AE0FEA">
      <w:pPr>
        <w:pStyle w:val="enumlev1"/>
      </w:pPr>
      <w:r w:rsidRPr="00FF188C">
        <w:t>•</w:t>
      </w:r>
      <w:r w:rsidRPr="00FF188C">
        <w:tab/>
        <w:t xml:space="preserve">Broadband RNSS receiver max interference threshold: </w:t>
      </w:r>
      <w:r w:rsidR="00FF188C" w:rsidRPr="00FF188C">
        <w:t>–</w:t>
      </w:r>
      <w:r w:rsidRPr="00FF188C">
        <w:t>140 dBW/MHz</w:t>
      </w:r>
    </w:p>
    <w:p w14:paraId="6F3E0CD7" w14:textId="695C8CED" w:rsidR="00C1590E" w:rsidRPr="00FF188C" w:rsidRDefault="00C1590E" w:rsidP="00AE0FEA">
      <w:pPr>
        <w:pStyle w:val="Heading3"/>
      </w:pPr>
      <w:r w:rsidRPr="00FF188C">
        <w:lastRenderedPageBreak/>
        <w:t xml:space="preserve">3.3.2 </w:t>
      </w:r>
      <w:r w:rsidRPr="00FF188C">
        <w:tab/>
        <w:t>Simulation Results</w:t>
      </w:r>
    </w:p>
    <w:p w14:paraId="3A7F91FC" w14:textId="04285105" w:rsidR="00C1590E" w:rsidRPr="00FF188C" w:rsidRDefault="00C1590E" w:rsidP="00C1590E">
      <w:pPr>
        <w:rPr>
          <w:szCs w:val="24"/>
        </w:rPr>
      </w:pPr>
      <w:r w:rsidRPr="00FF188C">
        <w:rPr>
          <w:szCs w:val="24"/>
        </w:rPr>
        <w:t>Mean percentage of mobile RNSS receivers impacted by one fixed broadband amateur home station:</w:t>
      </w:r>
    </w:p>
    <w:p w14:paraId="136896F9" w14:textId="4947415D" w:rsidR="00AE0FEA" w:rsidRPr="00FF188C" w:rsidRDefault="00AE0FEA" w:rsidP="00AE0FEA">
      <w:pPr>
        <w:pStyle w:val="TableNo"/>
      </w:pPr>
      <w:r w:rsidRPr="00FF188C">
        <w:t>Table 3</w:t>
      </w:r>
    </w:p>
    <w:p w14:paraId="217E5A79" w14:textId="4DA3650D" w:rsidR="00AE0FEA" w:rsidRPr="00FF188C" w:rsidRDefault="00AE0FEA" w:rsidP="00AE0FEA">
      <w:pPr>
        <w:pStyle w:val="Tabletitle"/>
      </w:pPr>
      <w:r w:rsidRPr="00FF188C">
        <w:t xml:space="preserve">Broadband Amateur Home Station: Mean Percentage of impacted mobile </w:t>
      </w:r>
      <w:r w:rsidRPr="00FF188C">
        <w:br/>
      </w:r>
      <w:r w:rsidRPr="00FF188C">
        <w:t>RNSS receivers and Standard Deviation</w:t>
      </w:r>
    </w:p>
    <w:tbl>
      <w:tblPr>
        <w:tblStyle w:val="TableGrid"/>
        <w:tblW w:w="0" w:type="auto"/>
        <w:jc w:val="center"/>
        <w:tblLook w:val="04A0" w:firstRow="1" w:lastRow="0" w:firstColumn="1" w:lastColumn="0" w:noHBand="0" w:noVBand="1"/>
      </w:tblPr>
      <w:tblGrid>
        <w:gridCol w:w="1488"/>
        <w:gridCol w:w="1484"/>
        <w:gridCol w:w="1281"/>
      </w:tblGrid>
      <w:tr w:rsidR="00C1590E" w:rsidRPr="00FF188C" w14:paraId="316822DC" w14:textId="77777777" w:rsidTr="002703FB">
        <w:trPr>
          <w:jc w:val="center"/>
        </w:trPr>
        <w:tc>
          <w:tcPr>
            <w:tcW w:w="1488" w:type="dxa"/>
            <w:tcBorders>
              <w:top w:val="nil"/>
              <w:left w:val="nil"/>
              <w:bottom w:val="single" w:sz="4" w:space="0" w:color="auto"/>
              <w:right w:val="single" w:sz="4" w:space="0" w:color="auto"/>
            </w:tcBorders>
            <w:shd w:val="clear" w:color="auto" w:fill="auto"/>
          </w:tcPr>
          <w:p w14:paraId="4B105061" w14:textId="77777777" w:rsidR="00C1590E" w:rsidRPr="00FF188C" w:rsidRDefault="00C1590E" w:rsidP="00AE0FEA">
            <w:pPr>
              <w:pStyle w:val="Tablehead"/>
            </w:pPr>
          </w:p>
        </w:tc>
        <w:tc>
          <w:tcPr>
            <w:tcW w:w="2765" w:type="dxa"/>
            <w:gridSpan w:val="2"/>
            <w:tcBorders>
              <w:left w:val="single" w:sz="4" w:space="0" w:color="auto"/>
            </w:tcBorders>
          </w:tcPr>
          <w:p w14:paraId="4BE87F4A" w14:textId="77777777" w:rsidR="00C1590E" w:rsidRPr="00FF188C" w:rsidRDefault="00C1590E" w:rsidP="00AE0FEA">
            <w:pPr>
              <w:pStyle w:val="Tablehead"/>
            </w:pPr>
            <w:r w:rsidRPr="00FF188C">
              <w:t>Average amateur station density</w:t>
            </w:r>
          </w:p>
        </w:tc>
      </w:tr>
      <w:tr w:rsidR="00C1590E" w:rsidRPr="00FF188C" w14:paraId="3CC5DF46" w14:textId="77777777" w:rsidTr="002703FB">
        <w:trPr>
          <w:jc w:val="center"/>
        </w:trPr>
        <w:tc>
          <w:tcPr>
            <w:tcW w:w="1488" w:type="dxa"/>
            <w:tcBorders>
              <w:top w:val="single" w:sz="4" w:space="0" w:color="auto"/>
            </w:tcBorders>
          </w:tcPr>
          <w:p w14:paraId="030E17C2" w14:textId="77777777" w:rsidR="00C1590E" w:rsidRPr="00FF188C" w:rsidRDefault="00C1590E" w:rsidP="00AE0FEA">
            <w:pPr>
              <w:pStyle w:val="Tablehead"/>
            </w:pPr>
            <w:r w:rsidRPr="00FF188C">
              <w:t>Area Setting Parameter</w:t>
            </w:r>
          </w:p>
        </w:tc>
        <w:tc>
          <w:tcPr>
            <w:tcW w:w="1484" w:type="dxa"/>
          </w:tcPr>
          <w:p w14:paraId="4EB22C0B" w14:textId="77777777" w:rsidR="00C1590E" w:rsidRPr="00FF188C" w:rsidRDefault="00C1590E" w:rsidP="00AE0FEA">
            <w:pPr>
              <w:pStyle w:val="Tablehead"/>
            </w:pPr>
            <w:r w:rsidRPr="00FF188C">
              <w:t>% Impacted RNSS Rx</w:t>
            </w:r>
          </w:p>
        </w:tc>
        <w:tc>
          <w:tcPr>
            <w:tcW w:w="1281" w:type="dxa"/>
          </w:tcPr>
          <w:p w14:paraId="24506F2D" w14:textId="77777777" w:rsidR="00C1590E" w:rsidRPr="00FF188C" w:rsidRDefault="00C1590E" w:rsidP="00AE0FEA">
            <w:pPr>
              <w:pStyle w:val="Tablehead"/>
            </w:pPr>
            <w:r w:rsidRPr="00FF188C">
              <w:t>Standard Deviation</w:t>
            </w:r>
          </w:p>
        </w:tc>
      </w:tr>
      <w:tr w:rsidR="00C1590E" w:rsidRPr="00FF188C" w14:paraId="3FA3DD37" w14:textId="77777777" w:rsidTr="002703FB">
        <w:trPr>
          <w:jc w:val="center"/>
        </w:trPr>
        <w:tc>
          <w:tcPr>
            <w:tcW w:w="1488" w:type="dxa"/>
          </w:tcPr>
          <w:p w14:paraId="0E1356AD" w14:textId="77777777" w:rsidR="00C1590E" w:rsidRPr="00FF188C" w:rsidRDefault="00C1590E" w:rsidP="00AE0FEA">
            <w:pPr>
              <w:pStyle w:val="Tabletext"/>
            </w:pPr>
            <w:r w:rsidRPr="00FF188C">
              <w:t>Rural</w:t>
            </w:r>
          </w:p>
        </w:tc>
        <w:tc>
          <w:tcPr>
            <w:tcW w:w="1484" w:type="dxa"/>
          </w:tcPr>
          <w:p w14:paraId="16F0E0F3" w14:textId="77777777" w:rsidR="00C1590E" w:rsidRPr="00FF188C" w:rsidRDefault="00C1590E" w:rsidP="00AE0FEA">
            <w:pPr>
              <w:pStyle w:val="Tabletext"/>
            </w:pPr>
            <w:r w:rsidRPr="00FF188C">
              <w:t>0.612%</w:t>
            </w:r>
          </w:p>
        </w:tc>
        <w:tc>
          <w:tcPr>
            <w:tcW w:w="1281" w:type="dxa"/>
          </w:tcPr>
          <w:p w14:paraId="31F2834D" w14:textId="77777777" w:rsidR="00C1590E" w:rsidRPr="00FF188C" w:rsidRDefault="00C1590E" w:rsidP="00AE0FEA">
            <w:pPr>
              <w:pStyle w:val="Tabletext"/>
            </w:pPr>
            <w:r w:rsidRPr="00FF188C">
              <w:t>0.008%</w:t>
            </w:r>
          </w:p>
        </w:tc>
      </w:tr>
      <w:tr w:rsidR="00C1590E" w:rsidRPr="00FF188C" w14:paraId="16F173C3" w14:textId="77777777" w:rsidTr="002703FB">
        <w:trPr>
          <w:jc w:val="center"/>
        </w:trPr>
        <w:tc>
          <w:tcPr>
            <w:tcW w:w="1488" w:type="dxa"/>
          </w:tcPr>
          <w:p w14:paraId="0C6A6252" w14:textId="77777777" w:rsidR="00C1590E" w:rsidRPr="00FF188C" w:rsidRDefault="00C1590E" w:rsidP="00AE0FEA">
            <w:pPr>
              <w:pStyle w:val="Tabletext"/>
            </w:pPr>
            <w:r w:rsidRPr="00FF188C">
              <w:t>Urban</w:t>
            </w:r>
          </w:p>
        </w:tc>
        <w:tc>
          <w:tcPr>
            <w:tcW w:w="1484" w:type="dxa"/>
          </w:tcPr>
          <w:p w14:paraId="684AA75F" w14:textId="77777777" w:rsidR="00C1590E" w:rsidRPr="00FF188C" w:rsidRDefault="00C1590E" w:rsidP="00AE0FEA">
            <w:pPr>
              <w:pStyle w:val="Tabletext"/>
            </w:pPr>
            <w:r w:rsidRPr="00FF188C">
              <w:t>0.325%</w:t>
            </w:r>
          </w:p>
        </w:tc>
        <w:tc>
          <w:tcPr>
            <w:tcW w:w="1281" w:type="dxa"/>
          </w:tcPr>
          <w:p w14:paraId="1303E193" w14:textId="77777777" w:rsidR="00C1590E" w:rsidRPr="00FF188C" w:rsidRDefault="00C1590E" w:rsidP="00AE0FEA">
            <w:pPr>
              <w:pStyle w:val="Tabletext"/>
            </w:pPr>
            <w:r w:rsidRPr="00FF188C">
              <w:t>0.006%</w:t>
            </w:r>
          </w:p>
        </w:tc>
      </w:tr>
      <w:tr w:rsidR="00C1590E" w:rsidRPr="00FF188C" w14:paraId="1AC46F19" w14:textId="77777777" w:rsidTr="002703FB">
        <w:trPr>
          <w:jc w:val="center"/>
        </w:trPr>
        <w:tc>
          <w:tcPr>
            <w:tcW w:w="1488" w:type="dxa"/>
          </w:tcPr>
          <w:p w14:paraId="47F2AB86" w14:textId="77777777" w:rsidR="00C1590E" w:rsidRPr="00FF188C" w:rsidRDefault="00C1590E" w:rsidP="00AE0FEA">
            <w:pPr>
              <w:pStyle w:val="Tabletext"/>
            </w:pPr>
            <w:r w:rsidRPr="00FF188C">
              <w:t>Dense urban</w:t>
            </w:r>
          </w:p>
        </w:tc>
        <w:tc>
          <w:tcPr>
            <w:tcW w:w="1484" w:type="dxa"/>
          </w:tcPr>
          <w:p w14:paraId="43AB098C" w14:textId="77777777" w:rsidR="00C1590E" w:rsidRPr="00FF188C" w:rsidRDefault="00C1590E" w:rsidP="00AE0FEA">
            <w:pPr>
              <w:pStyle w:val="Tabletext"/>
            </w:pPr>
            <w:r w:rsidRPr="00FF188C">
              <w:t>0.26%</w:t>
            </w:r>
          </w:p>
        </w:tc>
        <w:tc>
          <w:tcPr>
            <w:tcW w:w="1281" w:type="dxa"/>
          </w:tcPr>
          <w:p w14:paraId="139A1FD8" w14:textId="77777777" w:rsidR="00C1590E" w:rsidRPr="00FF188C" w:rsidRDefault="00C1590E" w:rsidP="00AE0FEA">
            <w:pPr>
              <w:pStyle w:val="Tabletext"/>
            </w:pPr>
            <w:r w:rsidRPr="00FF188C">
              <w:t>0.01%</w:t>
            </w:r>
          </w:p>
        </w:tc>
      </w:tr>
    </w:tbl>
    <w:p w14:paraId="18DF4B3F" w14:textId="77777777" w:rsidR="00C1590E" w:rsidRPr="00FF188C" w:rsidRDefault="00C1590E" w:rsidP="00AE0FEA">
      <w:pPr>
        <w:pStyle w:val="Heading2"/>
      </w:pPr>
      <w:r w:rsidRPr="00FF188C">
        <w:t>4.0</w:t>
      </w:r>
      <w:r w:rsidRPr="00FF188C">
        <w:tab/>
        <w:t>Permanent Amateur Station and Mobile RNSS Receivers Scenario</w:t>
      </w:r>
    </w:p>
    <w:p w14:paraId="495661CA" w14:textId="77777777" w:rsidR="00C1590E" w:rsidRPr="00FF188C" w:rsidRDefault="00C1590E" w:rsidP="00C1590E">
      <w:pPr>
        <w:rPr>
          <w:szCs w:val="24"/>
        </w:rPr>
      </w:pPr>
      <w:r w:rsidRPr="00FF188C">
        <w:rPr>
          <w:szCs w:val="24"/>
        </w:rPr>
        <w:t xml:space="preserve">In this simulation, the amateur station parameters are changed to those appropriate for a fixed permanent station (repeater station output channel) and the impact on moving RNSS receivers located in cars is considered from both a narrow band amateur emission and a broadband amateur emission. </w:t>
      </w:r>
    </w:p>
    <w:p w14:paraId="19A08A31" w14:textId="77777777" w:rsidR="00C1590E" w:rsidRPr="00FF188C" w:rsidRDefault="00C1590E" w:rsidP="00AE0FEA">
      <w:pPr>
        <w:pStyle w:val="Heading2"/>
      </w:pPr>
      <w:r w:rsidRPr="00FF188C">
        <w:t>4.1</w:t>
      </w:r>
      <w:r w:rsidRPr="00FF188C">
        <w:tab/>
        <w:t>Simulation Method</w:t>
      </w:r>
    </w:p>
    <w:p w14:paraId="3EE24029" w14:textId="77777777" w:rsidR="00C1590E" w:rsidRPr="00FF188C" w:rsidRDefault="00C1590E" w:rsidP="00C1590E">
      <w:pPr>
        <w:rPr>
          <w:szCs w:val="24"/>
        </w:rPr>
      </w:pPr>
      <w:r w:rsidRPr="00FF188C">
        <w:rPr>
          <w:szCs w:val="24"/>
        </w:rPr>
        <w:t>The same simulation method was followed as used in the fixed amateur home station and mobile RNSS receiver scenario in section 3.1.</w:t>
      </w:r>
    </w:p>
    <w:p w14:paraId="6920C111" w14:textId="77777777" w:rsidR="00C1590E" w:rsidRPr="00FF188C" w:rsidRDefault="00C1590E" w:rsidP="00AE0FEA">
      <w:pPr>
        <w:pStyle w:val="Heading2"/>
      </w:pPr>
      <w:r w:rsidRPr="00FF188C">
        <w:t>4.2</w:t>
      </w:r>
      <w:r w:rsidRPr="00FF188C">
        <w:tab/>
        <w:t>Narrow Band Amateur Permanent Station</w:t>
      </w:r>
    </w:p>
    <w:p w14:paraId="289B8916" w14:textId="77777777" w:rsidR="00C1590E" w:rsidRPr="00FF188C" w:rsidRDefault="00C1590E" w:rsidP="00AE0FEA">
      <w:pPr>
        <w:pStyle w:val="Heading3"/>
      </w:pPr>
      <w:r w:rsidRPr="00FF188C">
        <w:t>4.2.1</w:t>
      </w:r>
      <w:r w:rsidRPr="00FF188C">
        <w:tab/>
        <w:t>Simulation Parameters</w:t>
      </w:r>
    </w:p>
    <w:p w14:paraId="71E6D7A6" w14:textId="77777777" w:rsidR="00C1590E" w:rsidRPr="00FF188C" w:rsidRDefault="00C1590E" w:rsidP="00C1590E">
      <w:pPr>
        <w:rPr>
          <w:szCs w:val="24"/>
        </w:rPr>
      </w:pPr>
      <w:r w:rsidRPr="00FF188C">
        <w:rPr>
          <w:szCs w:val="24"/>
        </w:rPr>
        <w:t>The following parameters identified in Section 5 of the main report were assumed for the amateur permanent station and the RNSS receivers:</w:t>
      </w:r>
    </w:p>
    <w:p w14:paraId="57034B40" w14:textId="77777777" w:rsidR="00C1590E" w:rsidRPr="00FF188C" w:rsidRDefault="00C1590E" w:rsidP="002859D3">
      <w:pPr>
        <w:pStyle w:val="enumlev1"/>
      </w:pPr>
      <w:r w:rsidRPr="00FF188C">
        <w:t>•</w:t>
      </w:r>
      <w:r w:rsidRPr="00FF188C">
        <w:tab/>
        <w:t>Average permanent station density = 1 station / 3333 km</w:t>
      </w:r>
      <w:r w:rsidRPr="00FF188C">
        <w:rPr>
          <w:vertAlign w:val="superscript"/>
        </w:rPr>
        <w:t>2</w:t>
      </w:r>
    </w:p>
    <w:p w14:paraId="346AC598" w14:textId="77777777" w:rsidR="00C1590E" w:rsidRPr="00FF188C" w:rsidRDefault="00C1590E" w:rsidP="002859D3">
      <w:pPr>
        <w:pStyle w:val="enumlev1"/>
      </w:pPr>
      <w:r w:rsidRPr="00FF188C">
        <w:t>•</w:t>
      </w:r>
      <w:r w:rsidRPr="00FF188C">
        <w:tab/>
        <w:t>Simulation area: According to the station density = 58 x 58 km</w:t>
      </w:r>
    </w:p>
    <w:p w14:paraId="7F2B2EE8" w14:textId="77777777" w:rsidR="00C1590E" w:rsidRPr="00FF188C" w:rsidRDefault="00C1590E" w:rsidP="002859D3">
      <w:pPr>
        <w:pStyle w:val="enumlev1"/>
      </w:pPr>
      <w:r w:rsidRPr="00FF188C">
        <w:t>•</w:t>
      </w:r>
      <w:r w:rsidRPr="00FF188C">
        <w:tab/>
        <w:t>Transmitter frequency: 1297 MHz</w:t>
      </w:r>
    </w:p>
    <w:p w14:paraId="36B3808E" w14:textId="20C1A39B" w:rsidR="00C1590E" w:rsidRPr="00FF188C" w:rsidRDefault="00C1590E" w:rsidP="002859D3">
      <w:pPr>
        <w:pStyle w:val="enumlev1"/>
      </w:pPr>
      <w:r w:rsidRPr="00FF188C">
        <w:t>•</w:t>
      </w:r>
      <w:r w:rsidRPr="00FF188C">
        <w:tab/>
        <w:t>Transmitter e</w:t>
      </w:r>
      <w:r w:rsidR="00FF188C">
        <w:t>.</w:t>
      </w:r>
      <w:r w:rsidRPr="00FF188C">
        <w:t>i</w:t>
      </w:r>
      <w:r w:rsidR="00FF188C">
        <w:t>.</w:t>
      </w:r>
      <w:r w:rsidRPr="00FF188C">
        <w:t>r</w:t>
      </w:r>
      <w:r w:rsidR="00FF188C">
        <w:t>.</w:t>
      </w:r>
      <w:r w:rsidRPr="00FF188C">
        <w:t>p</w:t>
      </w:r>
      <w:r w:rsidR="00FF188C">
        <w:t>.</w:t>
      </w:r>
      <w:r w:rsidRPr="00FF188C">
        <w:t xml:space="preserve">: 25 Watts </w:t>
      </w:r>
    </w:p>
    <w:p w14:paraId="1F578E3F" w14:textId="77777777" w:rsidR="00C1590E" w:rsidRPr="00FF188C" w:rsidRDefault="00C1590E" w:rsidP="002859D3">
      <w:pPr>
        <w:pStyle w:val="enumlev1"/>
      </w:pPr>
      <w:r w:rsidRPr="00FF188C">
        <w:t>•</w:t>
      </w:r>
      <w:r w:rsidRPr="00FF188C">
        <w:tab/>
        <w:t>Effective height of the amateur station antenna: 25 meters</w:t>
      </w:r>
    </w:p>
    <w:p w14:paraId="7CF8C560" w14:textId="77777777" w:rsidR="00C1590E" w:rsidRPr="00FF188C" w:rsidRDefault="00C1590E" w:rsidP="002859D3">
      <w:pPr>
        <w:pStyle w:val="enumlev1"/>
      </w:pPr>
      <w:r w:rsidRPr="00FF188C">
        <w:t>•</w:t>
      </w:r>
      <w:r w:rsidRPr="00FF188C">
        <w:tab/>
        <w:t>Receiver antenna height: 1.5 meter</w:t>
      </w:r>
    </w:p>
    <w:p w14:paraId="6EB8E072" w14:textId="6FC3531E" w:rsidR="00C1590E" w:rsidRPr="00FF188C" w:rsidRDefault="00C1590E" w:rsidP="002859D3">
      <w:pPr>
        <w:pStyle w:val="enumlev1"/>
      </w:pPr>
      <w:r w:rsidRPr="00FF188C">
        <w:t>•</w:t>
      </w:r>
      <w:r w:rsidRPr="00FF188C">
        <w:tab/>
        <w:t xml:space="preserve">Narrow band receiver max interference threshold: </w:t>
      </w:r>
      <w:r w:rsidR="00FF188C">
        <w:t>–</w:t>
      </w:r>
      <w:r w:rsidRPr="00FF188C">
        <w:t>134.5 dBW</w:t>
      </w:r>
    </w:p>
    <w:p w14:paraId="458756E5" w14:textId="1B9FCCD3" w:rsidR="00C1590E" w:rsidRPr="00FF188C" w:rsidRDefault="00C1590E" w:rsidP="002859D3">
      <w:pPr>
        <w:pStyle w:val="enumlev1"/>
      </w:pPr>
      <w:r w:rsidRPr="00FF188C">
        <w:t>•</w:t>
      </w:r>
      <w:r w:rsidRPr="00FF188C">
        <w:tab/>
        <w:t xml:space="preserve">Receiver antenna gain: </w:t>
      </w:r>
      <w:r w:rsidR="00FF188C">
        <w:t>–</w:t>
      </w:r>
      <w:r w:rsidRPr="00FF188C">
        <w:t>6 dBi, omnidirectional.</w:t>
      </w:r>
    </w:p>
    <w:p w14:paraId="741D752A" w14:textId="72ABD0E5" w:rsidR="00C1590E" w:rsidRPr="00FF188C" w:rsidRDefault="00C1590E" w:rsidP="002859D3">
      <w:pPr>
        <w:pStyle w:val="enumlev1"/>
      </w:pPr>
      <w:r w:rsidRPr="00FF188C">
        <w:t>•</w:t>
      </w:r>
      <w:r w:rsidRPr="00FF188C">
        <w:tab/>
        <w:t xml:space="preserve">Rec. </w:t>
      </w:r>
      <w:r w:rsidR="00FF188C" w:rsidRPr="00FF188C">
        <w:t xml:space="preserve">ITU-R </w:t>
      </w:r>
      <w:r w:rsidRPr="00FF188C">
        <w:t>P.1546 ‘area’ parameter: Rural, Urban and Dense Urban</w:t>
      </w:r>
    </w:p>
    <w:p w14:paraId="2924D4A1" w14:textId="07593F9A" w:rsidR="00C1590E" w:rsidRPr="00FF188C" w:rsidRDefault="00C1590E" w:rsidP="002859D3">
      <w:pPr>
        <w:pStyle w:val="enumlev1"/>
      </w:pPr>
      <w:r w:rsidRPr="00FF188C">
        <w:t>•</w:t>
      </w:r>
      <w:r w:rsidRPr="00FF188C">
        <w:tab/>
        <w:t xml:space="preserve">Rec. </w:t>
      </w:r>
      <w:r w:rsidR="00FF188C" w:rsidRPr="00FF188C">
        <w:t xml:space="preserve">ITU-R </w:t>
      </w:r>
      <w:r w:rsidRPr="00FF188C">
        <w:t>P.1546 clutter height: 10</w:t>
      </w:r>
      <w:r w:rsidR="00FF188C" w:rsidRPr="00FF188C">
        <w:t xml:space="preserve"> </w:t>
      </w:r>
      <w:r w:rsidRPr="00FF188C">
        <w:t>m, 20</w:t>
      </w:r>
      <w:r w:rsidR="00FF188C" w:rsidRPr="00FF188C">
        <w:t xml:space="preserve"> </w:t>
      </w:r>
      <w:r w:rsidRPr="00FF188C">
        <w:t>m and 30</w:t>
      </w:r>
      <w:r w:rsidR="00FF188C" w:rsidRPr="00FF188C">
        <w:t xml:space="preserve"> </w:t>
      </w:r>
      <w:r w:rsidRPr="00FF188C">
        <w:t>m (according to the rural, urban or dense urban area parameter respectively)</w:t>
      </w:r>
    </w:p>
    <w:p w14:paraId="04FDEE72" w14:textId="77777777" w:rsidR="00C1590E" w:rsidRPr="00FF188C" w:rsidRDefault="00C1590E" w:rsidP="002859D3">
      <w:pPr>
        <w:pStyle w:val="enumlev1"/>
      </w:pPr>
      <w:r w:rsidRPr="00FF188C">
        <w:t>•</w:t>
      </w:r>
      <w:r w:rsidRPr="00FF188C">
        <w:tab/>
        <w:t>Location variability: 50%</w:t>
      </w:r>
    </w:p>
    <w:p w14:paraId="1CB1499B" w14:textId="77777777" w:rsidR="00C1590E" w:rsidRPr="00FF188C" w:rsidRDefault="00C1590E" w:rsidP="002859D3">
      <w:pPr>
        <w:pStyle w:val="enumlev1"/>
      </w:pPr>
      <w:r w:rsidRPr="00FF188C">
        <w:t>•</w:t>
      </w:r>
      <w:r w:rsidRPr="00FF188C">
        <w:tab/>
        <w:t>Required percentage time: 1%</w:t>
      </w:r>
    </w:p>
    <w:p w14:paraId="31DE6841" w14:textId="77777777" w:rsidR="00C1590E" w:rsidRPr="00FF188C" w:rsidRDefault="00C1590E" w:rsidP="00C1590E">
      <w:pPr>
        <w:rPr>
          <w:szCs w:val="24"/>
        </w:rPr>
      </w:pPr>
      <w:r w:rsidRPr="00FF188C">
        <w:rPr>
          <w:szCs w:val="24"/>
        </w:rPr>
        <w:lastRenderedPageBreak/>
        <w:t>Vehicular assumptions:</w:t>
      </w:r>
    </w:p>
    <w:p w14:paraId="3FAEB09B" w14:textId="77777777" w:rsidR="00C1590E" w:rsidRPr="00FF188C" w:rsidRDefault="00C1590E" w:rsidP="002859D3">
      <w:pPr>
        <w:pStyle w:val="enumlev1"/>
      </w:pPr>
      <w:r w:rsidRPr="00FF188C">
        <w:t>•</w:t>
      </w:r>
      <w:r w:rsidRPr="00FF188C">
        <w:tab/>
        <w:t>Car density: 330 vehicles/km</w:t>
      </w:r>
      <w:r w:rsidRPr="00FF188C">
        <w:rPr>
          <w:vertAlign w:val="superscript"/>
        </w:rPr>
        <w:t>2</w:t>
      </w:r>
      <w:r w:rsidRPr="00FF188C">
        <w:t xml:space="preserve"> </w:t>
      </w:r>
    </w:p>
    <w:p w14:paraId="2BB9FDB5" w14:textId="77777777" w:rsidR="00C1590E" w:rsidRPr="00FF188C" w:rsidRDefault="00C1590E" w:rsidP="002859D3">
      <w:pPr>
        <w:pStyle w:val="enumlev1"/>
      </w:pPr>
      <w:r w:rsidRPr="00FF188C">
        <w:t>•</w:t>
      </w:r>
      <w:r w:rsidRPr="00FF188C">
        <w:tab/>
        <w:t>Percentage of cars having an active RNSS receiver during the simulation: 50%</w:t>
      </w:r>
    </w:p>
    <w:p w14:paraId="1946C29A" w14:textId="77777777" w:rsidR="00C1590E" w:rsidRPr="00FF188C" w:rsidRDefault="00C1590E" w:rsidP="002859D3">
      <w:pPr>
        <w:pStyle w:val="enumlev1"/>
      </w:pPr>
      <w:r w:rsidRPr="00FF188C">
        <w:t>•</w:t>
      </w:r>
      <w:r w:rsidRPr="00FF188C">
        <w:tab/>
        <w:t>Speed distribution: uniform, from 5 to 50 km/h,</w:t>
      </w:r>
    </w:p>
    <w:p w14:paraId="4AA44A1D" w14:textId="77777777" w:rsidR="00C1590E" w:rsidRPr="00FF188C" w:rsidRDefault="00C1590E" w:rsidP="002859D3">
      <w:pPr>
        <w:pStyle w:val="enumlev1"/>
      </w:pPr>
      <w:r w:rsidRPr="00FF188C">
        <w:t>•</w:t>
      </w:r>
      <w:r w:rsidRPr="00FF188C">
        <w:tab/>
        <w:t>Simulated drive path duration for each simulation step: 15 minutes,</w:t>
      </w:r>
    </w:p>
    <w:p w14:paraId="1894A1FE" w14:textId="77777777" w:rsidR="00C1590E" w:rsidRPr="00FF188C" w:rsidRDefault="00C1590E" w:rsidP="00C1590E">
      <w:pPr>
        <w:rPr>
          <w:szCs w:val="24"/>
        </w:rPr>
      </w:pPr>
      <w:r w:rsidRPr="00FF188C">
        <w:rPr>
          <w:szCs w:val="24"/>
        </w:rPr>
        <w:t>Time step for the drive path: 5 seconds, leading to 180 steps for 15 minutes.</w:t>
      </w:r>
    </w:p>
    <w:p w14:paraId="2B21C2AD" w14:textId="77777777" w:rsidR="00C1590E" w:rsidRPr="00FF188C" w:rsidRDefault="00C1590E" w:rsidP="00C1590E">
      <w:pPr>
        <w:rPr>
          <w:szCs w:val="24"/>
        </w:rPr>
      </w:pPr>
      <w:r w:rsidRPr="00FF188C">
        <w:rPr>
          <w:b/>
          <w:szCs w:val="24"/>
        </w:rPr>
        <w:t xml:space="preserve">Note: </w:t>
      </w:r>
      <w:r w:rsidRPr="00FF188C">
        <w:rPr>
          <w:szCs w:val="24"/>
        </w:rPr>
        <w:t>Again, if a RNSS receiver moves outside of the simulation area, it turns around back into the area. Thus the number of RNSS receivers inside the simulation remains constant.</w:t>
      </w:r>
    </w:p>
    <w:p w14:paraId="3D883DB6" w14:textId="77777777" w:rsidR="00C1590E" w:rsidRPr="00FF188C" w:rsidRDefault="00C1590E" w:rsidP="00C1590E">
      <w:pPr>
        <w:rPr>
          <w:b/>
          <w:szCs w:val="24"/>
        </w:rPr>
      </w:pPr>
      <w:r w:rsidRPr="00FF188C">
        <w:rPr>
          <w:b/>
          <w:szCs w:val="24"/>
        </w:rPr>
        <w:t>4.2.2</w:t>
      </w:r>
      <w:r w:rsidRPr="00FF188C">
        <w:rPr>
          <w:b/>
          <w:szCs w:val="24"/>
        </w:rPr>
        <w:tab/>
        <w:t>Simulation Results</w:t>
      </w:r>
    </w:p>
    <w:p w14:paraId="532F29E5" w14:textId="77777777" w:rsidR="00C1590E" w:rsidRPr="00FF188C" w:rsidRDefault="00C1590E" w:rsidP="00C1590E">
      <w:pPr>
        <w:rPr>
          <w:szCs w:val="24"/>
        </w:rPr>
      </w:pPr>
      <w:r w:rsidRPr="00FF188C">
        <w:rPr>
          <w:szCs w:val="24"/>
        </w:rPr>
        <w:t>Mean percentage of mobile RNSS receivers impacted by one fixed narrow band permanent amateur station:</w:t>
      </w:r>
    </w:p>
    <w:p w14:paraId="3672DECE" w14:textId="23361526" w:rsidR="002859D3" w:rsidRPr="00FF188C" w:rsidRDefault="002859D3" w:rsidP="002859D3">
      <w:pPr>
        <w:pStyle w:val="TableNo"/>
      </w:pPr>
      <w:r w:rsidRPr="00FF188C">
        <w:t>Table 4</w:t>
      </w:r>
    </w:p>
    <w:p w14:paraId="6497026B" w14:textId="4472ECCA" w:rsidR="002859D3" w:rsidRPr="00FF188C" w:rsidRDefault="002859D3" w:rsidP="002859D3">
      <w:pPr>
        <w:pStyle w:val="Tabletitle"/>
      </w:pPr>
      <w:r w:rsidRPr="00FF188C">
        <w:t xml:space="preserve">Narrow Band Amateur Permanent Station: Mean Percentage of impacted mobile </w:t>
      </w:r>
      <w:r w:rsidR="00FF188C" w:rsidRPr="00FF188C">
        <w:br/>
      </w:r>
      <w:r w:rsidRPr="00FF188C">
        <w:t>RNSS receivers and Standard Deviation</w:t>
      </w:r>
    </w:p>
    <w:p w14:paraId="53670D8F" w14:textId="77777777" w:rsidR="00C1590E" w:rsidRPr="00FF188C" w:rsidRDefault="00C1590E" w:rsidP="00C1590E">
      <w:pPr>
        <w:rPr>
          <w:szCs w:val="24"/>
        </w:rPr>
      </w:pPr>
    </w:p>
    <w:tbl>
      <w:tblPr>
        <w:tblStyle w:val="TableGrid"/>
        <w:tblW w:w="0" w:type="auto"/>
        <w:jc w:val="center"/>
        <w:tblLook w:val="04A0" w:firstRow="1" w:lastRow="0" w:firstColumn="1" w:lastColumn="0" w:noHBand="0" w:noVBand="1"/>
      </w:tblPr>
      <w:tblGrid>
        <w:gridCol w:w="1863"/>
        <w:gridCol w:w="2102"/>
        <w:gridCol w:w="1559"/>
      </w:tblGrid>
      <w:tr w:rsidR="00C1590E" w:rsidRPr="00FF188C" w14:paraId="192FDA0E" w14:textId="77777777" w:rsidTr="002703FB">
        <w:trPr>
          <w:jc w:val="center"/>
        </w:trPr>
        <w:tc>
          <w:tcPr>
            <w:tcW w:w="1863" w:type="dxa"/>
            <w:shd w:val="clear" w:color="auto" w:fill="auto"/>
          </w:tcPr>
          <w:p w14:paraId="337FF8D9" w14:textId="77777777" w:rsidR="00C1590E" w:rsidRPr="00FF188C" w:rsidRDefault="00C1590E" w:rsidP="002859D3">
            <w:pPr>
              <w:pStyle w:val="Tablehead"/>
            </w:pPr>
            <w:r w:rsidRPr="00FF188C">
              <w:t>Area Setting Parameter</w:t>
            </w:r>
          </w:p>
        </w:tc>
        <w:tc>
          <w:tcPr>
            <w:tcW w:w="2102" w:type="dxa"/>
          </w:tcPr>
          <w:p w14:paraId="4F7A64C3" w14:textId="77777777" w:rsidR="00C1590E" w:rsidRPr="00FF188C" w:rsidRDefault="00C1590E" w:rsidP="002859D3">
            <w:pPr>
              <w:pStyle w:val="Tablehead"/>
            </w:pPr>
            <w:r w:rsidRPr="00FF188C">
              <w:t xml:space="preserve">% Impacted RNSS Rx </w:t>
            </w:r>
          </w:p>
        </w:tc>
        <w:tc>
          <w:tcPr>
            <w:tcW w:w="1559" w:type="dxa"/>
          </w:tcPr>
          <w:p w14:paraId="25787511" w14:textId="77777777" w:rsidR="00C1590E" w:rsidRPr="00FF188C" w:rsidRDefault="00C1590E" w:rsidP="002859D3">
            <w:pPr>
              <w:pStyle w:val="Tablehead"/>
            </w:pPr>
            <w:r w:rsidRPr="00FF188C">
              <w:t>Standard Deviation</w:t>
            </w:r>
          </w:p>
        </w:tc>
      </w:tr>
      <w:tr w:rsidR="00C1590E" w:rsidRPr="00FF188C" w14:paraId="3E30FA21" w14:textId="77777777" w:rsidTr="002703FB">
        <w:trPr>
          <w:jc w:val="center"/>
        </w:trPr>
        <w:tc>
          <w:tcPr>
            <w:tcW w:w="1863" w:type="dxa"/>
          </w:tcPr>
          <w:p w14:paraId="5BCD0C7F" w14:textId="77777777" w:rsidR="00C1590E" w:rsidRPr="00FF188C" w:rsidRDefault="00C1590E" w:rsidP="002859D3">
            <w:pPr>
              <w:pStyle w:val="Tabletext"/>
            </w:pPr>
            <w:r w:rsidRPr="00FF188C">
              <w:t>Rural</w:t>
            </w:r>
          </w:p>
        </w:tc>
        <w:tc>
          <w:tcPr>
            <w:tcW w:w="2102" w:type="dxa"/>
          </w:tcPr>
          <w:p w14:paraId="646553EE" w14:textId="77777777" w:rsidR="00C1590E" w:rsidRPr="00FF188C" w:rsidRDefault="00C1590E" w:rsidP="002859D3">
            <w:pPr>
              <w:pStyle w:val="Tabletext"/>
            </w:pPr>
            <w:r w:rsidRPr="00FF188C">
              <w:t>0.24%</w:t>
            </w:r>
          </w:p>
        </w:tc>
        <w:tc>
          <w:tcPr>
            <w:tcW w:w="1559" w:type="dxa"/>
          </w:tcPr>
          <w:p w14:paraId="1E51AB9A" w14:textId="77777777" w:rsidR="00C1590E" w:rsidRPr="00FF188C" w:rsidRDefault="00C1590E" w:rsidP="002859D3">
            <w:pPr>
              <w:pStyle w:val="Tabletext"/>
            </w:pPr>
            <w:r w:rsidRPr="00FF188C">
              <w:t>0.01%</w:t>
            </w:r>
          </w:p>
        </w:tc>
      </w:tr>
      <w:tr w:rsidR="00C1590E" w:rsidRPr="00FF188C" w14:paraId="05B322EB" w14:textId="77777777" w:rsidTr="002703FB">
        <w:trPr>
          <w:jc w:val="center"/>
        </w:trPr>
        <w:tc>
          <w:tcPr>
            <w:tcW w:w="1863" w:type="dxa"/>
          </w:tcPr>
          <w:p w14:paraId="77F88CE4" w14:textId="77777777" w:rsidR="00C1590E" w:rsidRPr="00FF188C" w:rsidRDefault="00C1590E" w:rsidP="002859D3">
            <w:pPr>
              <w:pStyle w:val="Tabletext"/>
            </w:pPr>
            <w:r w:rsidRPr="00FF188C">
              <w:t>Urban</w:t>
            </w:r>
          </w:p>
        </w:tc>
        <w:tc>
          <w:tcPr>
            <w:tcW w:w="2102" w:type="dxa"/>
          </w:tcPr>
          <w:p w14:paraId="1541FCEB" w14:textId="77777777" w:rsidR="00C1590E" w:rsidRPr="00FF188C" w:rsidRDefault="00C1590E" w:rsidP="002859D3">
            <w:pPr>
              <w:pStyle w:val="Tabletext"/>
            </w:pPr>
            <w:r w:rsidRPr="00FF188C">
              <w:t>0.13%</w:t>
            </w:r>
          </w:p>
        </w:tc>
        <w:tc>
          <w:tcPr>
            <w:tcW w:w="1559" w:type="dxa"/>
          </w:tcPr>
          <w:p w14:paraId="1F90810A" w14:textId="77777777" w:rsidR="00C1590E" w:rsidRPr="00FF188C" w:rsidRDefault="00C1590E" w:rsidP="002859D3">
            <w:pPr>
              <w:pStyle w:val="Tabletext"/>
            </w:pPr>
            <w:r w:rsidRPr="00FF188C">
              <w:t>0.005%</w:t>
            </w:r>
          </w:p>
        </w:tc>
      </w:tr>
      <w:tr w:rsidR="00C1590E" w:rsidRPr="00FF188C" w14:paraId="0432E32E" w14:textId="77777777" w:rsidTr="002703FB">
        <w:trPr>
          <w:jc w:val="center"/>
        </w:trPr>
        <w:tc>
          <w:tcPr>
            <w:tcW w:w="1863" w:type="dxa"/>
          </w:tcPr>
          <w:p w14:paraId="444F5362" w14:textId="77777777" w:rsidR="00C1590E" w:rsidRPr="00FF188C" w:rsidRDefault="00C1590E" w:rsidP="002859D3">
            <w:pPr>
              <w:pStyle w:val="Tabletext"/>
            </w:pPr>
            <w:r w:rsidRPr="00FF188C">
              <w:t>Dense urban</w:t>
            </w:r>
          </w:p>
        </w:tc>
        <w:tc>
          <w:tcPr>
            <w:tcW w:w="2102" w:type="dxa"/>
          </w:tcPr>
          <w:p w14:paraId="323EB16A" w14:textId="77777777" w:rsidR="00C1590E" w:rsidRPr="00FF188C" w:rsidRDefault="00C1590E" w:rsidP="002859D3">
            <w:pPr>
              <w:pStyle w:val="Tabletext"/>
            </w:pPr>
            <w:r w:rsidRPr="00FF188C">
              <w:t>0.1%</w:t>
            </w:r>
          </w:p>
        </w:tc>
        <w:tc>
          <w:tcPr>
            <w:tcW w:w="1559" w:type="dxa"/>
          </w:tcPr>
          <w:p w14:paraId="2A290F0B" w14:textId="77777777" w:rsidR="00C1590E" w:rsidRPr="00FF188C" w:rsidRDefault="00C1590E" w:rsidP="002859D3">
            <w:pPr>
              <w:pStyle w:val="Tabletext"/>
            </w:pPr>
            <w:r w:rsidRPr="00FF188C">
              <w:t>0.005%</w:t>
            </w:r>
          </w:p>
        </w:tc>
      </w:tr>
    </w:tbl>
    <w:p w14:paraId="7A10D549" w14:textId="77777777" w:rsidR="00C1590E" w:rsidRPr="00FF188C" w:rsidRDefault="00C1590E" w:rsidP="002859D3">
      <w:pPr>
        <w:pStyle w:val="Heading2"/>
      </w:pPr>
      <w:r w:rsidRPr="00FF188C">
        <w:t>4.3</w:t>
      </w:r>
      <w:r w:rsidRPr="00FF188C">
        <w:tab/>
        <w:t>Broadband Amateur Permanent Station</w:t>
      </w:r>
    </w:p>
    <w:p w14:paraId="72D34DAC" w14:textId="77777777" w:rsidR="00C1590E" w:rsidRPr="00FF188C" w:rsidRDefault="00C1590E" w:rsidP="002859D3">
      <w:pPr>
        <w:pStyle w:val="Heading3"/>
      </w:pPr>
      <w:r w:rsidRPr="00FF188C">
        <w:t>4.3.1</w:t>
      </w:r>
      <w:r w:rsidRPr="00FF188C">
        <w:tab/>
        <w:t>Simulation parameters</w:t>
      </w:r>
    </w:p>
    <w:p w14:paraId="2F57BEF0" w14:textId="77777777" w:rsidR="00C1590E" w:rsidRPr="00FF188C" w:rsidRDefault="00C1590E" w:rsidP="00C1590E">
      <w:pPr>
        <w:rPr>
          <w:szCs w:val="24"/>
        </w:rPr>
      </w:pPr>
      <w:r w:rsidRPr="00FF188C">
        <w:rPr>
          <w:szCs w:val="24"/>
        </w:rPr>
        <w:t xml:space="preserve">The same simulation parameters and vehicular assumptions were used as detailed in section 4.2.1 but in this case using the RNSS receiver broadband interference threshold: </w:t>
      </w:r>
    </w:p>
    <w:p w14:paraId="5444D5FA" w14:textId="77777777" w:rsidR="00C1590E" w:rsidRPr="00FF188C" w:rsidRDefault="00C1590E" w:rsidP="00C1590E">
      <w:pPr>
        <w:rPr>
          <w:szCs w:val="24"/>
        </w:rPr>
      </w:pPr>
      <w:r w:rsidRPr="00FF188C">
        <w:rPr>
          <w:szCs w:val="24"/>
        </w:rPr>
        <w:t>For the amateur service broadband emission:</w:t>
      </w:r>
    </w:p>
    <w:p w14:paraId="6FD1BB06" w14:textId="77777777" w:rsidR="00C1590E" w:rsidRPr="00FF188C" w:rsidRDefault="00C1590E" w:rsidP="002859D3">
      <w:pPr>
        <w:pStyle w:val="enumlev1"/>
      </w:pPr>
      <w:r w:rsidRPr="00FF188C">
        <w:t>•</w:t>
      </w:r>
      <w:r w:rsidRPr="00FF188C">
        <w:tab/>
        <w:t>Broadband emission bandwidth: 2 MHz (DATV signal)</w:t>
      </w:r>
    </w:p>
    <w:p w14:paraId="5C00C1E6" w14:textId="5BB8326A" w:rsidR="00C1590E" w:rsidRPr="00FF188C" w:rsidRDefault="00C1590E" w:rsidP="002859D3">
      <w:pPr>
        <w:pStyle w:val="enumlev1"/>
      </w:pPr>
      <w:r w:rsidRPr="00FF188C">
        <w:t>•</w:t>
      </w:r>
      <w:r w:rsidRPr="00FF188C">
        <w:tab/>
        <w:t xml:space="preserve">Broadband RNSS receiver max interference threshold: </w:t>
      </w:r>
      <w:r w:rsidR="00FF188C" w:rsidRPr="00FF188C">
        <w:t>–</w:t>
      </w:r>
      <w:r w:rsidRPr="00FF188C">
        <w:t>140 dBW/MHz</w:t>
      </w:r>
    </w:p>
    <w:p w14:paraId="5570EBAF" w14:textId="77777777" w:rsidR="00C1590E" w:rsidRPr="00FF188C" w:rsidRDefault="00C1590E" w:rsidP="002859D3">
      <w:pPr>
        <w:pStyle w:val="Heading3"/>
      </w:pPr>
      <w:r w:rsidRPr="00FF188C">
        <w:t>4.3.2</w:t>
      </w:r>
      <w:r w:rsidRPr="00FF188C">
        <w:tab/>
        <w:t>Simulation Results</w:t>
      </w:r>
    </w:p>
    <w:p w14:paraId="680E85F8" w14:textId="42A92B4C" w:rsidR="00C1590E" w:rsidRPr="00FF188C" w:rsidRDefault="00C1590E" w:rsidP="00C1590E">
      <w:pPr>
        <w:rPr>
          <w:szCs w:val="24"/>
        </w:rPr>
      </w:pPr>
      <w:r w:rsidRPr="00FF188C">
        <w:rPr>
          <w:szCs w:val="24"/>
        </w:rPr>
        <w:t>Mean percentage of mobile RNSS receivers impacted by one fixed broadband amateur permanent station:</w:t>
      </w:r>
    </w:p>
    <w:p w14:paraId="1CFD0F9E" w14:textId="25800904" w:rsidR="002859D3" w:rsidRPr="00FF188C" w:rsidRDefault="002859D3" w:rsidP="002859D3">
      <w:pPr>
        <w:pStyle w:val="TableNo"/>
      </w:pPr>
      <w:r w:rsidRPr="00FF188C">
        <w:t>Table 5</w:t>
      </w:r>
    </w:p>
    <w:p w14:paraId="3441199E" w14:textId="067FBA5C" w:rsidR="002859D3" w:rsidRPr="00FF188C" w:rsidRDefault="002859D3" w:rsidP="002859D3">
      <w:pPr>
        <w:pStyle w:val="Tabletitle"/>
      </w:pPr>
      <w:r w:rsidRPr="00FF188C">
        <w:t xml:space="preserve">Broadband Amateur Permanent Station: Mean Percentage of impacted mobile </w:t>
      </w:r>
      <w:r w:rsidRPr="00FF188C">
        <w:br/>
      </w:r>
      <w:r w:rsidRPr="00FF188C">
        <w:t>RNSS receivers and Standard Deviation</w:t>
      </w:r>
    </w:p>
    <w:p w14:paraId="6EEECD03" w14:textId="77777777" w:rsidR="002859D3" w:rsidRPr="00FF188C" w:rsidRDefault="002859D3" w:rsidP="00C1590E">
      <w:pPr>
        <w:rPr>
          <w:szCs w:val="24"/>
        </w:rPr>
      </w:pPr>
    </w:p>
    <w:tbl>
      <w:tblPr>
        <w:tblStyle w:val="TableGrid"/>
        <w:tblW w:w="0" w:type="auto"/>
        <w:jc w:val="center"/>
        <w:tblLook w:val="04A0" w:firstRow="1" w:lastRow="0" w:firstColumn="1" w:lastColumn="0" w:noHBand="0" w:noVBand="1"/>
      </w:tblPr>
      <w:tblGrid>
        <w:gridCol w:w="1696"/>
        <w:gridCol w:w="2127"/>
        <w:gridCol w:w="1417"/>
      </w:tblGrid>
      <w:tr w:rsidR="00C1590E" w:rsidRPr="00FF188C" w14:paraId="1863F08C" w14:textId="77777777" w:rsidTr="002859D3">
        <w:trPr>
          <w:tblHeader/>
          <w:jc w:val="center"/>
        </w:trPr>
        <w:tc>
          <w:tcPr>
            <w:tcW w:w="1696" w:type="dxa"/>
            <w:tcBorders>
              <w:top w:val="single" w:sz="4" w:space="0" w:color="auto"/>
            </w:tcBorders>
          </w:tcPr>
          <w:p w14:paraId="10365C6E" w14:textId="77777777" w:rsidR="00C1590E" w:rsidRPr="00FF188C" w:rsidRDefault="00C1590E" w:rsidP="002859D3">
            <w:pPr>
              <w:pStyle w:val="Tablehead"/>
            </w:pPr>
            <w:r w:rsidRPr="00FF188C">
              <w:t>Area Setting Parameter</w:t>
            </w:r>
          </w:p>
        </w:tc>
        <w:tc>
          <w:tcPr>
            <w:tcW w:w="2127" w:type="dxa"/>
          </w:tcPr>
          <w:p w14:paraId="10849991" w14:textId="77777777" w:rsidR="00C1590E" w:rsidRPr="00FF188C" w:rsidRDefault="00C1590E" w:rsidP="002859D3">
            <w:pPr>
              <w:pStyle w:val="Tablehead"/>
              <w:rPr>
                <w:rFonts w:ascii="Times New Roman" w:hAnsi="Times New Roman"/>
                <w:sz w:val="24"/>
              </w:rPr>
            </w:pPr>
            <w:r w:rsidRPr="00FF188C">
              <w:rPr>
                <w:rFonts w:ascii="Times New Roman" w:hAnsi="Times New Roman"/>
                <w:sz w:val="24"/>
              </w:rPr>
              <w:t>% Impacted RNSS Rx</w:t>
            </w:r>
          </w:p>
        </w:tc>
        <w:tc>
          <w:tcPr>
            <w:tcW w:w="1417" w:type="dxa"/>
          </w:tcPr>
          <w:p w14:paraId="4A040C98" w14:textId="77777777" w:rsidR="00C1590E" w:rsidRPr="00FF188C" w:rsidRDefault="00C1590E" w:rsidP="002859D3">
            <w:pPr>
              <w:pStyle w:val="Tablehead"/>
              <w:rPr>
                <w:rFonts w:ascii="Times New Roman" w:hAnsi="Times New Roman"/>
                <w:sz w:val="24"/>
              </w:rPr>
            </w:pPr>
            <w:r w:rsidRPr="00FF188C">
              <w:rPr>
                <w:rFonts w:ascii="Times New Roman" w:hAnsi="Times New Roman"/>
                <w:sz w:val="24"/>
              </w:rPr>
              <w:t>Standard Deviation</w:t>
            </w:r>
          </w:p>
        </w:tc>
      </w:tr>
      <w:tr w:rsidR="00C1590E" w:rsidRPr="00FF188C" w14:paraId="033A7267" w14:textId="77777777" w:rsidTr="002703FB">
        <w:trPr>
          <w:jc w:val="center"/>
        </w:trPr>
        <w:tc>
          <w:tcPr>
            <w:tcW w:w="1696" w:type="dxa"/>
          </w:tcPr>
          <w:p w14:paraId="4D0FEFB8" w14:textId="77777777" w:rsidR="00C1590E" w:rsidRPr="00FF188C" w:rsidRDefault="00C1590E" w:rsidP="002859D3">
            <w:pPr>
              <w:pStyle w:val="Tabletext"/>
            </w:pPr>
            <w:r w:rsidRPr="00FF188C">
              <w:t>Rural</w:t>
            </w:r>
          </w:p>
        </w:tc>
        <w:tc>
          <w:tcPr>
            <w:tcW w:w="2127" w:type="dxa"/>
          </w:tcPr>
          <w:p w14:paraId="776C3CE8" w14:textId="77777777" w:rsidR="00C1590E" w:rsidRPr="00FF188C" w:rsidRDefault="00C1590E" w:rsidP="002859D3">
            <w:pPr>
              <w:pStyle w:val="Tabletext"/>
            </w:pPr>
            <w:r w:rsidRPr="00FF188C">
              <w:t>0.68%</w:t>
            </w:r>
          </w:p>
        </w:tc>
        <w:tc>
          <w:tcPr>
            <w:tcW w:w="1417" w:type="dxa"/>
          </w:tcPr>
          <w:p w14:paraId="0E699309" w14:textId="77777777" w:rsidR="00C1590E" w:rsidRPr="00FF188C" w:rsidRDefault="00C1590E" w:rsidP="002859D3">
            <w:pPr>
              <w:pStyle w:val="Tabletext"/>
            </w:pPr>
            <w:r w:rsidRPr="00FF188C">
              <w:t>0.01%</w:t>
            </w:r>
          </w:p>
        </w:tc>
      </w:tr>
      <w:tr w:rsidR="00C1590E" w:rsidRPr="00FF188C" w14:paraId="1321FA4A" w14:textId="77777777" w:rsidTr="002703FB">
        <w:trPr>
          <w:jc w:val="center"/>
        </w:trPr>
        <w:tc>
          <w:tcPr>
            <w:tcW w:w="1696" w:type="dxa"/>
          </w:tcPr>
          <w:p w14:paraId="74437A62" w14:textId="77777777" w:rsidR="00C1590E" w:rsidRPr="00FF188C" w:rsidRDefault="00C1590E" w:rsidP="002859D3">
            <w:pPr>
              <w:pStyle w:val="Tabletext"/>
            </w:pPr>
            <w:r w:rsidRPr="00FF188C">
              <w:lastRenderedPageBreak/>
              <w:t>Urban</w:t>
            </w:r>
          </w:p>
        </w:tc>
        <w:tc>
          <w:tcPr>
            <w:tcW w:w="2127" w:type="dxa"/>
          </w:tcPr>
          <w:p w14:paraId="5BBAFECF" w14:textId="77777777" w:rsidR="00C1590E" w:rsidRPr="00FF188C" w:rsidRDefault="00C1590E" w:rsidP="002859D3">
            <w:pPr>
              <w:pStyle w:val="Tabletext"/>
            </w:pPr>
            <w:r w:rsidRPr="00FF188C">
              <w:t>0.34%</w:t>
            </w:r>
          </w:p>
        </w:tc>
        <w:tc>
          <w:tcPr>
            <w:tcW w:w="1417" w:type="dxa"/>
          </w:tcPr>
          <w:p w14:paraId="2FCE29AF" w14:textId="77777777" w:rsidR="00C1590E" w:rsidRPr="00FF188C" w:rsidRDefault="00C1590E" w:rsidP="002859D3">
            <w:pPr>
              <w:pStyle w:val="Tabletext"/>
            </w:pPr>
            <w:r w:rsidRPr="00FF188C">
              <w:t>0.01%</w:t>
            </w:r>
          </w:p>
        </w:tc>
      </w:tr>
      <w:tr w:rsidR="00C1590E" w:rsidRPr="00FF188C" w14:paraId="41F7CB76" w14:textId="77777777" w:rsidTr="002703FB">
        <w:trPr>
          <w:jc w:val="center"/>
        </w:trPr>
        <w:tc>
          <w:tcPr>
            <w:tcW w:w="1696" w:type="dxa"/>
          </w:tcPr>
          <w:p w14:paraId="198BA8F3" w14:textId="77777777" w:rsidR="00C1590E" w:rsidRPr="00FF188C" w:rsidRDefault="00C1590E" w:rsidP="002859D3">
            <w:pPr>
              <w:pStyle w:val="Tabletext"/>
            </w:pPr>
            <w:r w:rsidRPr="00FF188C">
              <w:t>Dense urban</w:t>
            </w:r>
          </w:p>
        </w:tc>
        <w:tc>
          <w:tcPr>
            <w:tcW w:w="2127" w:type="dxa"/>
          </w:tcPr>
          <w:p w14:paraId="1DDD315F" w14:textId="77777777" w:rsidR="00C1590E" w:rsidRPr="00FF188C" w:rsidRDefault="00C1590E" w:rsidP="002859D3">
            <w:pPr>
              <w:pStyle w:val="Tabletext"/>
            </w:pPr>
            <w:r w:rsidRPr="00FF188C">
              <w:t>0.26%</w:t>
            </w:r>
          </w:p>
        </w:tc>
        <w:tc>
          <w:tcPr>
            <w:tcW w:w="1417" w:type="dxa"/>
          </w:tcPr>
          <w:p w14:paraId="49BBBABD" w14:textId="77777777" w:rsidR="00C1590E" w:rsidRPr="00FF188C" w:rsidRDefault="00C1590E" w:rsidP="002859D3">
            <w:pPr>
              <w:pStyle w:val="Tabletext"/>
            </w:pPr>
            <w:r w:rsidRPr="00FF188C">
              <w:t>0.01%</w:t>
            </w:r>
          </w:p>
        </w:tc>
      </w:tr>
    </w:tbl>
    <w:p w14:paraId="47B88852" w14:textId="77777777" w:rsidR="00C1590E" w:rsidRPr="00FF188C" w:rsidRDefault="00C1590E" w:rsidP="00C1590E">
      <w:pPr>
        <w:rPr>
          <w:b/>
          <w:szCs w:val="24"/>
        </w:rPr>
      </w:pPr>
    </w:p>
    <w:p w14:paraId="0D527D78" w14:textId="77777777" w:rsidR="00C1590E" w:rsidRPr="00FF188C" w:rsidRDefault="00C1590E" w:rsidP="002859D3">
      <w:pPr>
        <w:pStyle w:val="Heading2"/>
      </w:pPr>
      <w:r w:rsidRPr="00FF188C">
        <w:t>5.0</w:t>
      </w:r>
      <w:r w:rsidRPr="00FF188C">
        <w:tab/>
        <w:t>Observations</w:t>
      </w:r>
    </w:p>
    <w:p w14:paraId="30A4299B" w14:textId="77777777" w:rsidR="00C1590E" w:rsidRPr="00FF188C" w:rsidRDefault="00C1590E" w:rsidP="00C1590E">
      <w:pPr>
        <w:rPr>
          <w:szCs w:val="24"/>
        </w:rPr>
      </w:pPr>
      <w:r w:rsidRPr="00FF188C">
        <w:rPr>
          <w:szCs w:val="24"/>
        </w:rPr>
        <w:t>In the fixed RNSS receivers and static amateur home station case the percentage of impacted receivers in the simulation area population is less than 1% for all the most likely combinations of area setting and amateur station density. One case returns a value of 1.62% but this is considered an unlikely combination of maximum amateur station density and a rural propagation model setting. Generally, the percentage of impacted receivers is higher for the highest amateur station density case but even in the urban setting the percentage is less than 0.5%.</w:t>
      </w:r>
    </w:p>
    <w:p w14:paraId="24DCDDF3" w14:textId="77777777" w:rsidR="00C1590E" w:rsidRPr="00FF188C" w:rsidRDefault="00C1590E" w:rsidP="00C1590E">
      <w:pPr>
        <w:rPr>
          <w:szCs w:val="24"/>
        </w:rPr>
      </w:pPr>
      <w:r w:rsidRPr="00FF188C">
        <w:rPr>
          <w:szCs w:val="24"/>
        </w:rPr>
        <w:t>This trend is true also for the mobile RNSS receiver case and the percentages are again higher for the maximum amateur station density case. However in the most likely combinations of area setting and station density, the percentage of impacted receivers in the simulation area population is mostly less than 1%. For an amateur station with an assumed broadband emission, the mean percentage of impacted RNSS receivers for an average amateur station density (based on narrowband station density) remains below 1%.</w:t>
      </w:r>
    </w:p>
    <w:p w14:paraId="483B876C" w14:textId="77777777" w:rsidR="00C1590E" w:rsidRPr="00FF188C" w:rsidRDefault="00C1590E" w:rsidP="00C1590E">
      <w:pPr>
        <w:rPr>
          <w:szCs w:val="24"/>
        </w:rPr>
      </w:pPr>
      <w:r w:rsidRPr="00FF188C">
        <w:rPr>
          <w:szCs w:val="24"/>
        </w:rPr>
        <w:t>For the permanent amateur station (narrow band or broadband repeater output channel) and mobile RNSS receiver case only a single average density figure is available. All the mean percentage results for impacted RNSS receivers are less than 1%.</w:t>
      </w:r>
    </w:p>
    <w:p w14:paraId="2EC71367" w14:textId="77777777" w:rsidR="00C1590E" w:rsidRPr="00FF188C" w:rsidRDefault="00C1590E" w:rsidP="00C1590E">
      <w:pPr>
        <w:rPr>
          <w:szCs w:val="24"/>
        </w:rPr>
      </w:pPr>
      <w:r w:rsidRPr="00FF188C">
        <w:rPr>
          <w:szCs w:val="24"/>
        </w:rPr>
        <w:t xml:space="preserve">To ensure their statistical validity, the simulations employ a large population of RNSS receivers. For example, in the mobile RNSS receiver simulation for the average amateur station density over 2.75 million active RNSS mobiles are considered in the simulation area. The low standard deviation figures provide good confidence in the results. </w:t>
      </w:r>
    </w:p>
    <w:p w14:paraId="26400FBD" w14:textId="77777777" w:rsidR="00C1590E" w:rsidRPr="00FF188C" w:rsidRDefault="00C1590E" w:rsidP="00C1590E">
      <w:pPr>
        <w:rPr>
          <w:szCs w:val="24"/>
        </w:rPr>
      </w:pPr>
      <w:r w:rsidRPr="00FF188C">
        <w:rPr>
          <w:szCs w:val="24"/>
        </w:rPr>
        <w:t xml:space="preserve">These results should be considered alongside the operational data estimating the amount of time that amateur stations are actively transmitting. For example, and for narrow band operations this amounts to less than 3% of time across a year. </w:t>
      </w:r>
    </w:p>
    <w:p w14:paraId="02A89DC8" w14:textId="77777777" w:rsidR="00C1590E" w:rsidRPr="00FF188C" w:rsidRDefault="00C1590E" w:rsidP="00C1590E">
      <w:pPr>
        <w:rPr>
          <w:szCs w:val="24"/>
        </w:rPr>
      </w:pPr>
      <w:r w:rsidRPr="00FF188C">
        <w:rPr>
          <w:szCs w:val="24"/>
        </w:rPr>
        <w:t>These simulations consider any improvement in interference resilience brought about by frequency offset from the RNSS system centre frequency. In addition, the continuous transmitting time of 15 minutes assumed in the simulations is excessive for a home station although it could be reasonable for a permanent station.</w:t>
      </w:r>
    </w:p>
    <w:p w14:paraId="0227C4E5" w14:textId="77777777" w:rsidR="00C1590E" w:rsidRPr="00FF188C" w:rsidRDefault="00C1590E" w:rsidP="002859D3">
      <w:pPr>
        <w:pStyle w:val="Heading2"/>
      </w:pPr>
      <w:r w:rsidRPr="00FF188C">
        <w:t>6.0</w:t>
      </w:r>
      <w:r w:rsidRPr="00FF188C">
        <w:tab/>
        <w:t>Conclusions</w:t>
      </w:r>
    </w:p>
    <w:p w14:paraId="4AB93B70" w14:textId="77777777" w:rsidR="00C1590E" w:rsidRPr="00FF188C" w:rsidRDefault="00C1590E" w:rsidP="00C1590E">
      <w:pPr>
        <w:rPr>
          <w:szCs w:val="24"/>
        </w:rPr>
      </w:pPr>
      <w:r w:rsidRPr="00FF188C">
        <w:rPr>
          <w:szCs w:val="24"/>
        </w:rPr>
        <w:t xml:space="preserve">This study shows that the percentage of a population of fixed or mobile RNSS receivers that might suffer interference from either a Home Station or a Permanent Station operating in the amateur service is very low. </w:t>
      </w:r>
    </w:p>
    <w:p w14:paraId="3F2A2503" w14:textId="77777777" w:rsidR="00C1590E" w:rsidRPr="00FF188C" w:rsidRDefault="00C1590E" w:rsidP="00C1590E">
      <w:pPr>
        <w:pStyle w:val="ChapNo"/>
        <w:spacing w:before="240"/>
        <w:rPr>
          <w:sz w:val="24"/>
          <w:szCs w:val="24"/>
        </w:rPr>
      </w:pPr>
    </w:p>
    <w:p w14:paraId="4EDAAF18" w14:textId="77777777" w:rsidR="00C1590E" w:rsidRPr="00FF188C" w:rsidRDefault="00C1590E" w:rsidP="00C1590E">
      <w:pPr>
        <w:tabs>
          <w:tab w:val="clear" w:pos="1134"/>
          <w:tab w:val="clear" w:pos="1871"/>
          <w:tab w:val="clear" w:pos="2268"/>
        </w:tabs>
        <w:overflowPunct/>
        <w:autoSpaceDE/>
        <w:autoSpaceDN/>
        <w:adjustRightInd/>
        <w:spacing w:before="0"/>
        <w:textAlignment w:val="auto"/>
        <w:rPr>
          <w:rFonts w:ascii="Times New Roman Bold" w:hAnsi="Times New Roman Bold"/>
          <w:b/>
          <w:caps/>
          <w:szCs w:val="24"/>
        </w:rPr>
      </w:pPr>
      <w:r w:rsidRPr="00FF188C">
        <w:rPr>
          <w:szCs w:val="24"/>
        </w:rPr>
        <w:br w:type="page"/>
      </w:r>
    </w:p>
    <w:p w14:paraId="367BFEBD" w14:textId="77777777" w:rsidR="00C1590E" w:rsidRPr="00FF188C" w:rsidRDefault="00C1590E" w:rsidP="002859D3">
      <w:pPr>
        <w:pStyle w:val="AnnexNo"/>
      </w:pPr>
      <w:r w:rsidRPr="00FF188C">
        <w:lastRenderedPageBreak/>
        <w:t>ATTACHMENT 2</w:t>
      </w:r>
    </w:p>
    <w:p w14:paraId="6AF8D919" w14:textId="5A9FE797" w:rsidR="00C1590E" w:rsidRPr="00FF188C" w:rsidRDefault="00C1590E" w:rsidP="00CD3781">
      <w:pPr>
        <w:pStyle w:val="Normalaftertitle0"/>
      </w:pPr>
      <w:r w:rsidRPr="00FF188C">
        <w:t>Changes proposed for the main body of Annex 5 to 5A/708:</w:t>
      </w:r>
    </w:p>
    <w:p w14:paraId="0804D2F2" w14:textId="17374022" w:rsidR="00C1590E" w:rsidRPr="00FF188C" w:rsidRDefault="00C1590E" w:rsidP="00C1590E">
      <w:r w:rsidRPr="00FF188C">
        <w:t>New section 5.8 between the existing 5.7 and 5.8:</w:t>
      </w:r>
    </w:p>
    <w:p w14:paraId="47A4DF0C" w14:textId="77777777" w:rsidR="00C1590E" w:rsidRPr="00FF188C" w:rsidRDefault="00C1590E" w:rsidP="00CD3781">
      <w:pPr>
        <w:pStyle w:val="Heading2"/>
      </w:pPr>
      <w:bookmarkStart w:id="13" w:name="_Hlk132731812"/>
      <w:r w:rsidRPr="00FF188C">
        <w:t>5.8</w:t>
      </w:r>
      <w:r w:rsidRPr="00FF188C">
        <w:tab/>
        <w:t>Impact of Amateur Station Emissions</w:t>
      </w:r>
    </w:p>
    <w:p w14:paraId="1B0D9B57" w14:textId="77777777" w:rsidR="00C1590E" w:rsidRPr="00FF188C" w:rsidRDefault="00C1590E" w:rsidP="00C1590E">
      <w:r w:rsidRPr="00FF188C">
        <w:t xml:space="preserve">Using the parameters and operational data in the sections above, simulations have been carried out to assess the impact of certain amateur station emissions on a population of co-frequency RNSS receivers. These are detailed in Annex 1. </w:t>
      </w:r>
    </w:p>
    <w:bookmarkEnd w:id="13"/>
    <w:p w14:paraId="65CE8344" w14:textId="6DB2EBAC" w:rsidR="000069D4" w:rsidRPr="00FF188C" w:rsidRDefault="00CD3781" w:rsidP="00CD3781">
      <w:pPr>
        <w:spacing w:before="720"/>
        <w:jc w:val="center"/>
        <w:rPr>
          <w:lang w:eastAsia="zh-CN"/>
        </w:rPr>
      </w:pPr>
      <w:r w:rsidRPr="00FF188C">
        <w:t>____________</w:t>
      </w:r>
    </w:p>
    <w:sectPr w:rsidR="000069D4" w:rsidRPr="00FF188C"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9720" w14:textId="77777777" w:rsidR="00C1590E" w:rsidRDefault="00C1590E">
      <w:r>
        <w:separator/>
      </w:r>
    </w:p>
  </w:endnote>
  <w:endnote w:type="continuationSeparator" w:id="0">
    <w:p w14:paraId="43F03775" w14:textId="77777777" w:rsidR="00C1590E" w:rsidRDefault="00C1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B29D" w14:textId="39DB153D" w:rsidR="00FA124A" w:rsidRPr="002F7CB3" w:rsidRDefault="009C185B">
    <w:pPr>
      <w:pStyle w:val="Footer"/>
      <w:rPr>
        <w:lang w:val="en-US"/>
      </w:rPr>
    </w:pPr>
    <w:fldSimple w:instr=" FILENAME \p \* MERGEFORMAT ">
      <w:r w:rsidR="00AE0FEA" w:rsidRPr="00AE0FEA">
        <w:rPr>
          <w:lang w:val="en-US"/>
        </w:rPr>
        <w:t>M</w:t>
      </w:r>
      <w:r w:rsidR="00AE0FEA">
        <w:t>:\BRSGD\TEXT2019\SG05\WP5A\700\730e.docx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C1324F">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1324F">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4031" w14:textId="3D62F469" w:rsidR="00FA124A" w:rsidRPr="002F7CB3" w:rsidRDefault="009C185B" w:rsidP="00E6257C">
    <w:pPr>
      <w:pStyle w:val="Footer"/>
      <w:rPr>
        <w:lang w:val="en-US"/>
      </w:rPr>
    </w:pPr>
    <w:fldSimple w:instr=" FILENAME \p \* MERGEFORMAT ">
      <w:r w:rsidR="00AE0FEA" w:rsidRPr="00AE0FEA">
        <w:rPr>
          <w:lang w:val="en-US"/>
        </w:rPr>
        <w:t>M</w:t>
      </w:r>
      <w:r w:rsidR="00AE0FEA">
        <w:t>:\BRSGD\TEXT2019\SG05\WP5A\700\730e.docx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C1324F">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1324F">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3866" w14:textId="77777777" w:rsidR="00C1590E" w:rsidRDefault="00C1590E">
      <w:r>
        <w:t>____________________</w:t>
      </w:r>
    </w:p>
  </w:footnote>
  <w:footnote w:type="continuationSeparator" w:id="0">
    <w:p w14:paraId="3F5CC3B8" w14:textId="77777777" w:rsidR="00C1590E" w:rsidRDefault="00C15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5BB7"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1E4D358D" w14:textId="77777777" w:rsidR="00FA124A" w:rsidRDefault="00C1590E">
    <w:pPr>
      <w:pStyle w:val="Header"/>
      <w:rPr>
        <w:lang w:val="en-US"/>
      </w:rPr>
    </w:pPr>
    <w:r>
      <w:rPr>
        <w:lang w:val="en-US"/>
      </w:rPr>
      <w:t>5A/730-E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ton Viard, Emma">
    <w15:presenceInfo w15:providerId="AD" w15:userId="S::emma.norton-viard@itu.int::6b0b3567-26c8-4313-9be0-96f9d9691a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0E"/>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859D3"/>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E0FEA"/>
    <w:rsid w:val="00AF173A"/>
    <w:rsid w:val="00B066A4"/>
    <w:rsid w:val="00B07A13"/>
    <w:rsid w:val="00B4279B"/>
    <w:rsid w:val="00B45FC9"/>
    <w:rsid w:val="00B76F35"/>
    <w:rsid w:val="00B81138"/>
    <w:rsid w:val="00BC7CCF"/>
    <w:rsid w:val="00BE470B"/>
    <w:rsid w:val="00C1324F"/>
    <w:rsid w:val="00C1590E"/>
    <w:rsid w:val="00C57A91"/>
    <w:rsid w:val="00CC01C2"/>
    <w:rsid w:val="00CD3781"/>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 w:val="00FF18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002B6"/>
  <w15:docId w15:val="{2728F22C-FF17-40A5-AEE7-24667BC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rsid w:val="00C1590E"/>
    <w:rPr>
      <w:color w:val="0000FF"/>
      <w:u w:val="single"/>
    </w:rPr>
  </w:style>
  <w:style w:type="character" w:customStyle="1" w:styleId="ECCParagraph">
    <w:name w:val="ECC Paragraph"/>
    <w:basedOn w:val="DefaultParagraphFont"/>
    <w:uiPriority w:val="1"/>
    <w:qFormat/>
    <w:rsid w:val="00C1590E"/>
    <w:rPr>
      <w:rFonts w:ascii="Arial" w:hAnsi="Arial"/>
      <w:noProof w:val="0"/>
      <w:sz w:val="20"/>
      <w:bdr w:val="none" w:sz="0" w:space="0" w:color="auto"/>
      <w:lang w:val="en-GB"/>
    </w:rPr>
  </w:style>
  <w:style w:type="paragraph" w:customStyle="1" w:styleId="ECCTabletext">
    <w:name w:val="ECC Table text"/>
    <w:basedOn w:val="Normal"/>
    <w:qFormat/>
    <w:rsid w:val="00C1590E"/>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paragraph" w:customStyle="1" w:styleId="ECCTableHeaderredfont">
    <w:name w:val="ECC Table Header red font"/>
    <w:qFormat/>
    <w:rsid w:val="00C1590E"/>
    <w:pPr>
      <w:spacing w:before="120" w:after="60"/>
      <w:jc w:val="both"/>
    </w:pPr>
    <w:rPr>
      <w:rFonts w:ascii="Arial" w:hAnsi="Arial"/>
      <w:bCs/>
      <w:color w:val="D2232A"/>
      <w:lang w:val="en-GB" w:eastAsia="en-US"/>
    </w:rPr>
  </w:style>
  <w:style w:type="table" w:styleId="TableGrid">
    <w:name w:val="Table Grid"/>
    <w:basedOn w:val="TableNormal"/>
    <w:uiPriority w:val="39"/>
    <w:rsid w:val="00C1590E"/>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0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3K-C-0289/e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dms_pub/itu-r/md/19/wp5a/c/R19-WP5A-C-0708!N05!MSW-E.docx"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3885</TotalTime>
  <Pages>10</Pages>
  <Words>2648</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Alissa ITU BR</dc:creator>
  <cp:lastModifiedBy>Chamova, Alisa</cp:lastModifiedBy>
  <cp:revision>4</cp:revision>
  <cp:lastPrinted>2008-02-21T14:04:00Z</cp:lastPrinted>
  <dcterms:created xsi:type="dcterms:W3CDTF">2023-04-28T14:27:00Z</dcterms:created>
  <dcterms:modified xsi:type="dcterms:W3CDTF">2023-05-01T07:13:00Z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